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highlight w:val="none"/>
        </w:rPr>
      </w:pPr>
    </w:p>
    <w:p>
      <w:pPr>
        <w:rPr>
          <w:rFonts w:hint="eastAsia" w:ascii="宋体" w:hAnsi="宋体" w:eastAsia="宋体"/>
          <w:b/>
          <w:bCs w:val="0"/>
          <w:highlight w:val="none"/>
        </w:rPr>
      </w:pPr>
      <w:r>
        <w:rPr>
          <w:rFonts w:hint="eastAsia" w:ascii="Times New Roman" w:hAnsi="Times New Roman"/>
          <w:b/>
          <w:bCs w:val="0"/>
          <w:color w:val="auto"/>
          <w:sz w:val="24"/>
          <w:szCs w:val="24"/>
          <w:highlight w:val="none"/>
          <w:lang w:val="en-US" w:eastAsia="zh-CN"/>
        </w:rPr>
        <w:t>★注：本采购需求设备清单及设备参数内容均为实质性响应要求，</w:t>
      </w:r>
      <w:r>
        <w:rPr>
          <w:rFonts w:hint="eastAsia" w:ascii="Times New Roman" w:hAnsi="Times New Roman"/>
          <w:b/>
          <w:bCs w:val="0"/>
          <w:color w:val="auto"/>
          <w:sz w:val="24"/>
          <w:szCs w:val="24"/>
          <w:highlight w:val="none"/>
        </w:rPr>
        <w:t>供应商所投产品的各项参数</w:t>
      </w:r>
      <w:bookmarkStart w:id="0" w:name="_GoBack"/>
      <w:bookmarkEnd w:id="0"/>
      <w:r>
        <w:rPr>
          <w:rFonts w:hint="eastAsia" w:ascii="Times New Roman" w:hAnsi="Times New Roman"/>
          <w:b/>
          <w:bCs w:val="0"/>
          <w:color w:val="auto"/>
          <w:sz w:val="24"/>
          <w:szCs w:val="24"/>
          <w:highlight w:val="none"/>
        </w:rPr>
        <w:t>均须符合或高于采购清单中的技术指标要求，</w:t>
      </w:r>
      <w:r>
        <w:rPr>
          <w:rFonts w:hint="eastAsia" w:ascii="Times New Roman" w:hAnsi="Times New Roman"/>
          <w:b/>
          <w:bCs w:val="0"/>
          <w:color w:val="auto"/>
          <w:sz w:val="24"/>
          <w:szCs w:val="24"/>
          <w:highlight w:val="none"/>
          <w:lang w:val="en-US" w:eastAsia="zh-CN"/>
        </w:rPr>
        <w:t>否则</w:t>
      </w:r>
      <w:r>
        <w:rPr>
          <w:rFonts w:hint="eastAsia" w:ascii="Times New Roman" w:hAnsi="Times New Roman"/>
          <w:b/>
          <w:bCs w:val="0"/>
          <w:color w:val="auto"/>
          <w:sz w:val="24"/>
          <w:szCs w:val="24"/>
          <w:highlight w:val="none"/>
        </w:rPr>
        <w:t>将作为无效响应文件处理。</w:t>
      </w:r>
    </w:p>
    <w:p>
      <w:pPr>
        <w:rPr>
          <w:rFonts w:ascii="宋体" w:hAnsi="宋体" w:eastAsia="宋体"/>
          <w:highlight w:val="none"/>
        </w:rPr>
      </w:pPr>
      <w:r>
        <w:rPr>
          <w:rFonts w:hint="eastAsia" w:ascii="宋体" w:hAnsi="宋体" w:eastAsia="宋体"/>
          <w:highlight w:val="none"/>
        </w:rPr>
        <w:t>1、设备清单</w:t>
      </w:r>
    </w:p>
    <w:tbl>
      <w:tblPr>
        <w:tblStyle w:val="7"/>
        <w:tblW w:w="7700" w:type="dxa"/>
        <w:tblInd w:w="113" w:type="dxa"/>
        <w:tblLayout w:type="autofit"/>
        <w:tblCellMar>
          <w:top w:w="0" w:type="dxa"/>
          <w:left w:w="108" w:type="dxa"/>
          <w:bottom w:w="0" w:type="dxa"/>
          <w:right w:w="108" w:type="dxa"/>
        </w:tblCellMar>
      </w:tblPr>
      <w:tblGrid>
        <w:gridCol w:w="704"/>
        <w:gridCol w:w="1576"/>
        <w:gridCol w:w="4060"/>
        <w:gridCol w:w="700"/>
        <w:gridCol w:w="660"/>
      </w:tblGrid>
      <w:tr>
        <w:tblPrEx>
          <w:tblCellMar>
            <w:top w:w="0" w:type="dxa"/>
            <w:left w:w="108" w:type="dxa"/>
            <w:bottom w:w="0" w:type="dxa"/>
            <w:right w:w="108" w:type="dxa"/>
          </w:tblCellMar>
        </w:tblPrEx>
        <w:trPr>
          <w:trHeight w:val="600" w:hRule="atLeast"/>
        </w:trPr>
        <w:tc>
          <w:tcPr>
            <w:tcW w:w="7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序号</w:t>
            </w:r>
          </w:p>
        </w:tc>
        <w:tc>
          <w:tcPr>
            <w:tcW w:w="157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品名</w:t>
            </w:r>
          </w:p>
        </w:tc>
        <w:tc>
          <w:tcPr>
            <w:tcW w:w="406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详细配置说明</w:t>
            </w:r>
          </w:p>
        </w:tc>
        <w:tc>
          <w:tcPr>
            <w:tcW w:w="7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单位</w:t>
            </w:r>
          </w:p>
        </w:tc>
        <w:tc>
          <w:tcPr>
            <w:tcW w:w="66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数量</w:t>
            </w:r>
          </w:p>
        </w:tc>
      </w:tr>
      <w:tr>
        <w:tblPrEx>
          <w:tblCellMar>
            <w:top w:w="0" w:type="dxa"/>
            <w:left w:w="108" w:type="dxa"/>
            <w:bottom w:w="0" w:type="dxa"/>
            <w:right w:w="108" w:type="dxa"/>
          </w:tblCellMar>
        </w:tblPrEx>
        <w:trPr>
          <w:trHeight w:val="90" w:hRule="atLeast"/>
        </w:trPr>
        <w:tc>
          <w:tcPr>
            <w:tcW w:w="70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p>
        </w:tc>
        <w:tc>
          <w:tcPr>
            <w:tcW w:w="15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集成动环控制箱</w:t>
            </w:r>
            <w:r>
              <w:rPr>
                <w:rFonts w:hint="eastAsia" w:ascii="宋体" w:hAnsi="宋体" w:eastAsia="宋体" w:cs="宋体"/>
                <w:kern w:val="0"/>
                <w:sz w:val="24"/>
                <w:szCs w:val="24"/>
                <w:highlight w:val="none"/>
              </w:rPr>
              <w:br w:type="textWrapping"/>
            </w:r>
            <w:r>
              <w:rPr>
                <w:rFonts w:hint="eastAsia" w:ascii="宋体" w:hAnsi="宋体" w:eastAsia="宋体" w:cs="宋体"/>
                <w:kern w:val="0"/>
                <w:sz w:val="24"/>
                <w:szCs w:val="24"/>
                <w:highlight w:val="none"/>
              </w:rPr>
              <w:t>（380V）</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集成动环控制箱*1</w:t>
            </w:r>
            <w:r>
              <w:rPr>
                <w:rFonts w:hint="eastAsia" w:ascii="宋体" w:hAnsi="宋体" w:eastAsia="宋体" w:cs="宋体"/>
                <w:kern w:val="0"/>
                <w:sz w:val="24"/>
                <w:szCs w:val="24"/>
                <w:highlight w:val="none"/>
              </w:rPr>
              <w:br w:type="textWrapping"/>
            </w:r>
            <w:r>
              <w:rPr>
                <w:rFonts w:hint="eastAsia" w:ascii="宋体" w:hAnsi="宋体" w:eastAsia="宋体" w:cs="宋体"/>
                <w:kern w:val="0"/>
                <w:sz w:val="24"/>
                <w:szCs w:val="24"/>
                <w:highlight w:val="none"/>
              </w:rPr>
              <w:t>12v120w工业开关电源*1</w:t>
            </w:r>
            <w:r>
              <w:rPr>
                <w:rFonts w:hint="eastAsia" w:ascii="宋体" w:hAnsi="宋体" w:eastAsia="宋体" w:cs="宋体"/>
                <w:kern w:val="0"/>
                <w:sz w:val="24"/>
                <w:szCs w:val="24"/>
                <w:highlight w:val="none"/>
              </w:rPr>
              <w:br w:type="textWrapping"/>
            </w:r>
            <w:r>
              <w:rPr>
                <w:rFonts w:hint="eastAsia" w:ascii="宋体" w:hAnsi="宋体" w:eastAsia="宋体" w:cs="宋体"/>
                <w:kern w:val="0"/>
                <w:sz w:val="24"/>
                <w:szCs w:val="24"/>
                <w:highlight w:val="none"/>
              </w:rPr>
              <w:t>12V直流供电5口千兆铁壳交换机或光猫10GPON-ONU*1</w:t>
            </w:r>
            <w:r>
              <w:rPr>
                <w:rFonts w:hint="eastAsia" w:ascii="宋体" w:hAnsi="宋体" w:eastAsia="宋体" w:cs="宋体"/>
                <w:kern w:val="0"/>
                <w:sz w:val="24"/>
                <w:szCs w:val="24"/>
                <w:highlight w:val="none"/>
              </w:rPr>
              <w:br w:type="textWrapping"/>
            </w:r>
            <w:r>
              <w:rPr>
                <w:rFonts w:hint="eastAsia" w:ascii="宋体" w:hAnsi="宋体" w:eastAsia="宋体" w:cs="宋体"/>
                <w:kern w:val="0"/>
                <w:sz w:val="24"/>
                <w:szCs w:val="24"/>
                <w:highlight w:val="none"/>
              </w:rPr>
              <w:t>1毫米厚标准35mm铝轨道*1</w:t>
            </w:r>
            <w:r>
              <w:rPr>
                <w:rFonts w:hint="eastAsia" w:ascii="宋体" w:hAnsi="宋体" w:eastAsia="宋体" w:cs="宋体"/>
                <w:kern w:val="0"/>
                <w:sz w:val="24"/>
                <w:szCs w:val="24"/>
                <w:highlight w:val="none"/>
              </w:rPr>
              <w:br w:type="textWrapping"/>
            </w:r>
            <w:r>
              <w:rPr>
                <w:rFonts w:hint="eastAsia" w:ascii="宋体" w:hAnsi="宋体" w:eastAsia="宋体" w:cs="宋体"/>
                <w:kern w:val="0"/>
                <w:sz w:val="24"/>
                <w:szCs w:val="24"/>
                <w:highlight w:val="none"/>
              </w:rPr>
              <w:t>集成动力环境监控网关*1</w:t>
            </w:r>
            <w:r>
              <w:rPr>
                <w:rFonts w:hint="eastAsia" w:ascii="宋体" w:hAnsi="宋体" w:eastAsia="宋体" w:cs="宋体"/>
                <w:kern w:val="0"/>
                <w:sz w:val="24"/>
                <w:szCs w:val="24"/>
                <w:highlight w:val="none"/>
              </w:rPr>
              <w:br w:type="textWrapping"/>
            </w:r>
            <w:r>
              <w:rPr>
                <w:rFonts w:hint="eastAsia" w:ascii="宋体" w:hAnsi="宋体" w:eastAsia="宋体" w:cs="宋体"/>
                <w:kern w:val="0"/>
                <w:sz w:val="24"/>
                <w:szCs w:val="24"/>
                <w:highlight w:val="none"/>
              </w:rPr>
              <w:t>集成轨道式温湿度传感器*1</w:t>
            </w:r>
            <w:r>
              <w:rPr>
                <w:rFonts w:hint="eastAsia" w:ascii="宋体" w:hAnsi="宋体" w:eastAsia="宋体" w:cs="宋体"/>
                <w:kern w:val="0"/>
                <w:sz w:val="24"/>
                <w:szCs w:val="24"/>
                <w:highlight w:val="none"/>
              </w:rPr>
              <w:br w:type="textWrapping"/>
            </w:r>
            <w:r>
              <w:rPr>
                <w:rFonts w:hint="eastAsia" w:ascii="宋体" w:hAnsi="宋体" w:eastAsia="宋体" w:cs="宋体"/>
                <w:kern w:val="0"/>
                <w:sz w:val="24"/>
                <w:szCs w:val="24"/>
                <w:highlight w:val="none"/>
              </w:rPr>
              <w:t>集成RS485隔离型集线器一进8出*1</w:t>
            </w:r>
            <w:r>
              <w:rPr>
                <w:rFonts w:hint="eastAsia" w:ascii="宋体" w:hAnsi="宋体" w:eastAsia="宋体" w:cs="宋体"/>
                <w:kern w:val="0"/>
                <w:sz w:val="24"/>
                <w:szCs w:val="24"/>
                <w:highlight w:val="none"/>
              </w:rPr>
              <w:br w:type="textWrapping"/>
            </w:r>
            <w:r>
              <w:rPr>
                <w:rFonts w:hint="eastAsia" w:ascii="宋体" w:hAnsi="宋体" w:eastAsia="宋体" w:cs="宋体"/>
                <w:kern w:val="0"/>
                <w:sz w:val="24"/>
                <w:szCs w:val="24"/>
                <w:highlight w:val="none"/>
              </w:rPr>
              <w:t>集成RS485三相轨道式电表+4P空开*1</w:t>
            </w:r>
            <w:r>
              <w:rPr>
                <w:rFonts w:hint="eastAsia" w:ascii="宋体" w:hAnsi="宋体" w:eastAsia="宋体" w:cs="宋体"/>
                <w:kern w:val="0"/>
                <w:sz w:val="24"/>
                <w:szCs w:val="24"/>
                <w:highlight w:val="none"/>
              </w:rPr>
              <w:br w:type="textWrapping"/>
            </w:r>
            <w:r>
              <w:rPr>
                <w:rFonts w:hint="eastAsia" w:ascii="宋体" w:hAnsi="宋体" w:eastAsia="宋体" w:cs="宋体"/>
                <w:kern w:val="0"/>
                <w:sz w:val="24"/>
                <w:szCs w:val="24"/>
                <w:highlight w:val="none"/>
              </w:rPr>
              <w:t>集成RS485计量智能4P空气开关*1</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套</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w:t>
            </w:r>
          </w:p>
        </w:tc>
      </w:tr>
      <w:tr>
        <w:tblPrEx>
          <w:tblCellMar>
            <w:top w:w="0" w:type="dxa"/>
            <w:left w:w="108" w:type="dxa"/>
            <w:bottom w:w="0" w:type="dxa"/>
            <w:right w:w="108" w:type="dxa"/>
          </w:tblCellMar>
        </w:tblPrEx>
        <w:trPr>
          <w:trHeight w:val="2640" w:hRule="atLeast"/>
        </w:trPr>
        <w:tc>
          <w:tcPr>
            <w:tcW w:w="70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 w:val="24"/>
                <w:szCs w:val="24"/>
                <w:highlight w:val="none"/>
              </w:rPr>
            </w:pPr>
          </w:p>
        </w:tc>
        <w:tc>
          <w:tcPr>
            <w:tcW w:w="15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集成动环控制箱</w:t>
            </w:r>
            <w:r>
              <w:rPr>
                <w:rFonts w:hint="eastAsia" w:ascii="宋体" w:hAnsi="宋体" w:eastAsia="宋体" w:cs="宋体"/>
                <w:kern w:val="0"/>
                <w:sz w:val="24"/>
                <w:szCs w:val="24"/>
                <w:highlight w:val="none"/>
              </w:rPr>
              <w:br w:type="textWrapping"/>
            </w:r>
            <w:r>
              <w:rPr>
                <w:rFonts w:hint="eastAsia" w:ascii="宋体" w:hAnsi="宋体" w:eastAsia="宋体" w:cs="宋体"/>
                <w:kern w:val="0"/>
                <w:sz w:val="24"/>
                <w:szCs w:val="24"/>
                <w:highlight w:val="none"/>
              </w:rPr>
              <w:t>（220V）</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集成动环控制箱*1</w:t>
            </w:r>
            <w:r>
              <w:rPr>
                <w:rFonts w:hint="eastAsia" w:ascii="宋体" w:hAnsi="宋体" w:eastAsia="宋体" w:cs="宋体"/>
                <w:kern w:val="0"/>
                <w:sz w:val="24"/>
                <w:szCs w:val="24"/>
                <w:highlight w:val="none"/>
              </w:rPr>
              <w:br w:type="textWrapping"/>
            </w:r>
            <w:r>
              <w:rPr>
                <w:rFonts w:hint="eastAsia" w:ascii="宋体" w:hAnsi="宋体" w:eastAsia="宋体" w:cs="宋体"/>
                <w:kern w:val="0"/>
                <w:sz w:val="24"/>
                <w:szCs w:val="24"/>
                <w:highlight w:val="none"/>
              </w:rPr>
              <w:t>12v120w工业开关电源*1</w:t>
            </w:r>
            <w:r>
              <w:rPr>
                <w:rFonts w:hint="eastAsia" w:ascii="宋体" w:hAnsi="宋体" w:eastAsia="宋体" w:cs="宋体"/>
                <w:kern w:val="0"/>
                <w:sz w:val="24"/>
                <w:szCs w:val="24"/>
                <w:highlight w:val="none"/>
              </w:rPr>
              <w:br w:type="textWrapping"/>
            </w:r>
            <w:r>
              <w:rPr>
                <w:rFonts w:hint="eastAsia" w:ascii="宋体" w:hAnsi="宋体" w:eastAsia="宋体" w:cs="宋体"/>
                <w:kern w:val="0"/>
                <w:sz w:val="24"/>
                <w:szCs w:val="24"/>
                <w:highlight w:val="none"/>
              </w:rPr>
              <w:t>12V直流供电5口千兆铁壳交换机或光猫10GPON-ONU*1</w:t>
            </w:r>
            <w:r>
              <w:rPr>
                <w:rFonts w:hint="eastAsia" w:ascii="宋体" w:hAnsi="宋体" w:eastAsia="宋体" w:cs="宋体"/>
                <w:kern w:val="0"/>
                <w:sz w:val="24"/>
                <w:szCs w:val="24"/>
                <w:highlight w:val="none"/>
              </w:rPr>
              <w:br w:type="textWrapping"/>
            </w:r>
            <w:r>
              <w:rPr>
                <w:rFonts w:hint="eastAsia" w:ascii="宋体" w:hAnsi="宋体" w:eastAsia="宋体" w:cs="宋体"/>
                <w:kern w:val="0"/>
                <w:sz w:val="24"/>
                <w:szCs w:val="24"/>
                <w:highlight w:val="none"/>
              </w:rPr>
              <w:t>1毫米厚标准35mm铝轨道*1</w:t>
            </w:r>
            <w:r>
              <w:rPr>
                <w:rFonts w:hint="eastAsia" w:ascii="宋体" w:hAnsi="宋体" w:eastAsia="宋体" w:cs="宋体"/>
                <w:kern w:val="0"/>
                <w:sz w:val="24"/>
                <w:szCs w:val="24"/>
                <w:highlight w:val="none"/>
              </w:rPr>
              <w:br w:type="textWrapping"/>
            </w:r>
            <w:r>
              <w:rPr>
                <w:rFonts w:hint="eastAsia" w:ascii="宋体" w:hAnsi="宋体" w:eastAsia="宋体" w:cs="宋体"/>
                <w:kern w:val="0"/>
                <w:sz w:val="24"/>
                <w:szCs w:val="24"/>
                <w:highlight w:val="none"/>
              </w:rPr>
              <w:t>集成动力环境监控网关*1</w:t>
            </w:r>
            <w:r>
              <w:rPr>
                <w:rFonts w:hint="eastAsia" w:ascii="宋体" w:hAnsi="宋体" w:eastAsia="宋体" w:cs="宋体"/>
                <w:kern w:val="0"/>
                <w:sz w:val="24"/>
                <w:szCs w:val="24"/>
                <w:highlight w:val="none"/>
              </w:rPr>
              <w:br w:type="textWrapping"/>
            </w:r>
            <w:r>
              <w:rPr>
                <w:rFonts w:hint="eastAsia" w:ascii="宋体" w:hAnsi="宋体" w:eastAsia="宋体" w:cs="宋体"/>
                <w:kern w:val="0"/>
                <w:sz w:val="24"/>
                <w:szCs w:val="24"/>
                <w:highlight w:val="none"/>
              </w:rPr>
              <w:t>集成轨道式温湿度传感器*1</w:t>
            </w:r>
            <w:r>
              <w:rPr>
                <w:rFonts w:hint="eastAsia" w:ascii="宋体" w:hAnsi="宋体" w:eastAsia="宋体" w:cs="宋体"/>
                <w:kern w:val="0"/>
                <w:sz w:val="24"/>
                <w:szCs w:val="24"/>
                <w:highlight w:val="none"/>
              </w:rPr>
              <w:br w:type="textWrapping"/>
            </w:r>
            <w:r>
              <w:rPr>
                <w:rFonts w:hint="eastAsia" w:ascii="宋体" w:hAnsi="宋体" w:eastAsia="宋体" w:cs="宋体"/>
                <w:kern w:val="0"/>
                <w:sz w:val="24"/>
                <w:szCs w:val="24"/>
                <w:highlight w:val="none"/>
              </w:rPr>
              <w:t>集成RS485隔离型集线器一进8出*1</w:t>
            </w:r>
            <w:r>
              <w:rPr>
                <w:rFonts w:hint="eastAsia" w:ascii="宋体" w:hAnsi="宋体" w:eastAsia="宋体" w:cs="宋体"/>
                <w:kern w:val="0"/>
                <w:sz w:val="24"/>
                <w:szCs w:val="24"/>
                <w:highlight w:val="none"/>
              </w:rPr>
              <w:br w:type="textWrapping"/>
            </w:r>
            <w:r>
              <w:rPr>
                <w:rFonts w:hint="eastAsia" w:ascii="宋体" w:hAnsi="宋体" w:eastAsia="宋体" w:cs="宋体"/>
                <w:kern w:val="0"/>
                <w:sz w:val="24"/>
                <w:szCs w:val="24"/>
                <w:highlight w:val="none"/>
              </w:rPr>
              <w:t>集成RS485单相轨道式电表+2P空开*1</w:t>
            </w:r>
            <w:r>
              <w:rPr>
                <w:rFonts w:hint="eastAsia" w:ascii="宋体" w:hAnsi="宋体" w:eastAsia="宋体" w:cs="宋体"/>
                <w:kern w:val="0"/>
                <w:sz w:val="24"/>
                <w:szCs w:val="24"/>
                <w:highlight w:val="none"/>
              </w:rPr>
              <w:br w:type="textWrapping"/>
            </w:r>
            <w:r>
              <w:rPr>
                <w:rFonts w:hint="eastAsia" w:ascii="宋体" w:hAnsi="宋体" w:eastAsia="宋体" w:cs="宋体"/>
                <w:kern w:val="0"/>
                <w:sz w:val="24"/>
                <w:szCs w:val="24"/>
                <w:highlight w:val="none"/>
              </w:rPr>
              <w:t>集成RS485计量智能2P空气开关*1</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套</w:t>
            </w:r>
          </w:p>
        </w:tc>
        <w:tc>
          <w:tcPr>
            <w:tcW w:w="6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63</w:t>
            </w:r>
          </w:p>
        </w:tc>
      </w:tr>
      <w:tr>
        <w:tblPrEx>
          <w:tblCellMar>
            <w:top w:w="0" w:type="dxa"/>
            <w:left w:w="108" w:type="dxa"/>
            <w:bottom w:w="0" w:type="dxa"/>
            <w:right w:w="108" w:type="dxa"/>
          </w:tblCellMar>
        </w:tblPrEx>
        <w:trPr>
          <w:trHeight w:val="4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w:t>
            </w:r>
          </w:p>
        </w:tc>
        <w:tc>
          <w:tcPr>
            <w:tcW w:w="15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带显示温湿度传感器</w:t>
            </w:r>
          </w:p>
        </w:tc>
        <w:tc>
          <w:tcPr>
            <w:tcW w:w="40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RS485网络型液晶显示温湿度传感器变送器 双RJ45口 Modbus</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个</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70</w:t>
            </w:r>
          </w:p>
        </w:tc>
      </w:tr>
      <w:tr>
        <w:tblPrEx>
          <w:tblCellMar>
            <w:top w:w="0" w:type="dxa"/>
            <w:left w:w="108" w:type="dxa"/>
            <w:bottom w:w="0" w:type="dxa"/>
            <w:right w:w="108" w:type="dxa"/>
          </w:tblCellMar>
        </w:tblPrEx>
        <w:trPr>
          <w:trHeight w:val="4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光电烟感探测器</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烟雾报警器12V联网烟感探测器有线开关量24V消防火灾温度感应器</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个</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70</w:t>
            </w:r>
          </w:p>
        </w:tc>
      </w:tr>
      <w:tr>
        <w:tblPrEx>
          <w:tblCellMar>
            <w:top w:w="0" w:type="dxa"/>
            <w:left w:w="108" w:type="dxa"/>
            <w:bottom w:w="0" w:type="dxa"/>
            <w:right w:w="108" w:type="dxa"/>
          </w:tblCellMar>
        </w:tblPrEx>
        <w:trPr>
          <w:trHeight w:val="4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红外遥控探头</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485转红外遥控学习型红外引出式发射头</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个</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65</w:t>
            </w:r>
          </w:p>
        </w:tc>
      </w:tr>
      <w:tr>
        <w:tblPrEx>
          <w:tblCellMar>
            <w:top w:w="0" w:type="dxa"/>
            <w:left w:w="108" w:type="dxa"/>
            <w:bottom w:w="0" w:type="dxa"/>
            <w:right w:w="108" w:type="dxa"/>
          </w:tblCellMar>
        </w:tblPrEx>
        <w:trPr>
          <w:trHeight w:val="1320" w:hRule="atLeast"/>
        </w:trPr>
        <w:tc>
          <w:tcPr>
            <w:tcW w:w="70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w:t>
            </w:r>
          </w:p>
        </w:tc>
        <w:tc>
          <w:tcPr>
            <w:tcW w:w="15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智能门禁</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提供</w:t>
            </w:r>
            <w:r>
              <w:rPr>
                <w:rFonts w:hint="eastAsia" w:ascii="宋体" w:hAnsi="宋体" w:eastAsia="宋体" w:cs="宋体"/>
                <w:sz w:val="24"/>
                <w:szCs w:val="24"/>
                <w:highlight w:val="none"/>
              </w:rPr>
              <w:t>大于等于</w:t>
            </w:r>
            <w:r>
              <w:rPr>
                <w:rFonts w:hint="eastAsia" w:ascii="宋体" w:hAnsi="宋体" w:eastAsia="宋体" w:cs="宋体"/>
                <w:kern w:val="0"/>
                <w:sz w:val="24"/>
                <w:szCs w:val="24"/>
                <w:highlight w:val="none"/>
              </w:rPr>
              <w:t>7英寸液晶触摸显示屏</w:t>
            </w:r>
            <w:r>
              <w:rPr>
                <w:rFonts w:hint="eastAsia" w:ascii="宋体" w:hAnsi="宋体" w:eastAsia="宋体" w:cs="宋体"/>
                <w:kern w:val="0"/>
                <w:sz w:val="24"/>
                <w:szCs w:val="24"/>
                <w:highlight w:val="none"/>
              </w:rPr>
              <w:br w:type="textWrapping"/>
            </w:r>
            <w:r>
              <w:rPr>
                <w:rFonts w:hint="eastAsia" w:ascii="宋体" w:hAnsi="宋体" w:eastAsia="宋体" w:cs="宋体"/>
                <w:kern w:val="0"/>
                <w:sz w:val="24"/>
                <w:szCs w:val="24"/>
                <w:highlight w:val="none"/>
              </w:rPr>
              <w:t>至少200万宽动态双目摄像头</w:t>
            </w:r>
            <w:r>
              <w:rPr>
                <w:rFonts w:hint="eastAsia" w:ascii="宋体" w:hAnsi="宋体" w:eastAsia="宋体" w:cs="宋体"/>
                <w:kern w:val="0"/>
                <w:sz w:val="24"/>
                <w:szCs w:val="24"/>
                <w:highlight w:val="none"/>
              </w:rPr>
              <w:br w:type="textWrapping"/>
            </w:r>
            <w:r>
              <w:rPr>
                <w:rFonts w:hint="eastAsia" w:ascii="宋体" w:hAnsi="宋体" w:eastAsia="宋体" w:cs="宋体"/>
                <w:kern w:val="0"/>
                <w:sz w:val="24"/>
                <w:szCs w:val="24"/>
                <w:highlight w:val="none"/>
              </w:rPr>
              <w:t>支持口罩检测模式</w:t>
            </w:r>
            <w:r>
              <w:rPr>
                <w:rFonts w:hint="eastAsia" w:ascii="宋体" w:hAnsi="宋体" w:eastAsia="宋体" w:cs="宋体"/>
                <w:kern w:val="0"/>
                <w:sz w:val="24"/>
                <w:szCs w:val="24"/>
                <w:highlight w:val="none"/>
              </w:rPr>
              <w:br w:type="textWrapping"/>
            </w:r>
            <w:r>
              <w:rPr>
                <w:rFonts w:hint="eastAsia" w:ascii="宋体" w:hAnsi="宋体" w:eastAsia="宋体" w:cs="宋体"/>
                <w:kern w:val="0"/>
                <w:sz w:val="24"/>
                <w:szCs w:val="24"/>
                <w:highlight w:val="none"/>
              </w:rPr>
              <w:t>支持人脸（至少1万张）</w:t>
            </w:r>
            <w:r>
              <w:rPr>
                <w:rFonts w:hint="eastAsia" w:ascii="宋体" w:hAnsi="宋体" w:eastAsia="宋体" w:cs="宋体"/>
                <w:kern w:val="0"/>
                <w:sz w:val="24"/>
                <w:szCs w:val="24"/>
                <w:highlight w:val="none"/>
              </w:rPr>
              <w:br w:type="textWrapping"/>
            </w:r>
            <w:r>
              <w:rPr>
                <w:rFonts w:hint="eastAsia" w:ascii="宋体" w:hAnsi="宋体" w:eastAsia="宋体" w:cs="宋体"/>
                <w:kern w:val="0"/>
                <w:sz w:val="24"/>
                <w:szCs w:val="24"/>
                <w:highlight w:val="none"/>
              </w:rPr>
              <w:t>支持刷卡（至少5万张IC卡）</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台</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65</w:t>
            </w:r>
          </w:p>
        </w:tc>
      </w:tr>
      <w:tr>
        <w:tblPrEx>
          <w:tblCellMar>
            <w:top w:w="0" w:type="dxa"/>
            <w:left w:w="108" w:type="dxa"/>
            <w:bottom w:w="0" w:type="dxa"/>
            <w:right w:w="108" w:type="dxa"/>
          </w:tblCellMar>
        </w:tblPrEx>
        <w:trPr>
          <w:trHeight w:val="528" w:hRule="atLeast"/>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 w:val="24"/>
                <w:szCs w:val="24"/>
                <w:highlight w:val="none"/>
              </w:rPr>
            </w:pPr>
          </w:p>
        </w:tc>
        <w:tc>
          <w:tcPr>
            <w:tcW w:w="157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 w:val="24"/>
                <w:szCs w:val="24"/>
                <w:highlight w:val="none"/>
              </w:rPr>
            </w:pP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门禁电磁锁280KG双门磁力锁电控锁单门电插锁单元楼铁门门锁</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个</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65</w:t>
            </w:r>
          </w:p>
        </w:tc>
      </w:tr>
      <w:tr>
        <w:tblPrEx>
          <w:tblCellMar>
            <w:top w:w="0" w:type="dxa"/>
            <w:left w:w="108" w:type="dxa"/>
            <w:bottom w:w="0" w:type="dxa"/>
            <w:right w:w="108" w:type="dxa"/>
          </w:tblCellMar>
        </w:tblPrEx>
        <w:trPr>
          <w:trHeight w:val="528" w:hRule="atLeast"/>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 w:val="24"/>
                <w:szCs w:val="24"/>
                <w:highlight w:val="none"/>
              </w:rPr>
            </w:pPr>
          </w:p>
        </w:tc>
        <w:tc>
          <w:tcPr>
            <w:tcW w:w="157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 w:val="24"/>
                <w:szCs w:val="24"/>
                <w:highlight w:val="none"/>
              </w:rPr>
            </w:pP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门禁机电子门禁系统3A门禁后备电源UPS门禁电源带电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套</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65</w:t>
            </w:r>
          </w:p>
        </w:tc>
      </w:tr>
      <w:tr>
        <w:tblPrEx>
          <w:tblCellMar>
            <w:top w:w="0" w:type="dxa"/>
            <w:left w:w="108" w:type="dxa"/>
            <w:bottom w:w="0" w:type="dxa"/>
            <w:right w:w="108" w:type="dxa"/>
          </w:tblCellMar>
        </w:tblPrEx>
        <w:trPr>
          <w:trHeight w:val="4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6</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声光报警器</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红色工业声光报警器220v消防火灾一体化大功率行车语音报警喇叭12V24V</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台</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65</w:t>
            </w:r>
          </w:p>
        </w:tc>
      </w:tr>
      <w:tr>
        <w:tblPrEx>
          <w:tblCellMar>
            <w:top w:w="0" w:type="dxa"/>
            <w:left w:w="108" w:type="dxa"/>
            <w:bottom w:w="0" w:type="dxa"/>
            <w:right w:w="108" w:type="dxa"/>
          </w:tblCellMar>
        </w:tblPrEx>
        <w:trPr>
          <w:trHeight w:val="4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7</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云台球机</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4G卡物联卡版 360度全景 语音对讲 4G+有线</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台</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65</w:t>
            </w:r>
          </w:p>
        </w:tc>
      </w:tr>
      <w:tr>
        <w:tblPrEx>
          <w:tblCellMar>
            <w:top w:w="0" w:type="dxa"/>
            <w:left w:w="108" w:type="dxa"/>
            <w:bottom w:w="0" w:type="dxa"/>
            <w:right w:w="108" w:type="dxa"/>
          </w:tblCellMar>
        </w:tblPrEx>
        <w:trPr>
          <w:trHeight w:val="480" w:hRule="atLeast"/>
        </w:trPr>
        <w:tc>
          <w:tcPr>
            <w:tcW w:w="70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8</w:t>
            </w:r>
          </w:p>
        </w:tc>
        <w:tc>
          <w:tcPr>
            <w:tcW w:w="15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智能录像机</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128路16盘网络硬盘录像机</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台</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p>
        </w:tc>
      </w:tr>
      <w:tr>
        <w:tblPrEx>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 w:val="24"/>
                <w:szCs w:val="24"/>
                <w:highlight w:val="none"/>
              </w:rPr>
            </w:pPr>
          </w:p>
        </w:tc>
        <w:tc>
          <w:tcPr>
            <w:tcW w:w="157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 w:val="24"/>
                <w:szCs w:val="24"/>
                <w:highlight w:val="none"/>
              </w:rPr>
            </w:pP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8t台式机械硬盘</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块</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16</w:t>
            </w:r>
          </w:p>
        </w:tc>
      </w:tr>
      <w:tr>
        <w:tblPrEx>
          <w:tblCellMar>
            <w:top w:w="0" w:type="dxa"/>
            <w:left w:w="108" w:type="dxa"/>
            <w:bottom w:w="0" w:type="dxa"/>
            <w:right w:w="108" w:type="dxa"/>
          </w:tblCellMar>
        </w:tblPrEx>
        <w:trPr>
          <w:trHeight w:val="4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9</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操作台</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详见技术参数</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套</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p>
        </w:tc>
      </w:tr>
      <w:tr>
        <w:tblPrEx>
          <w:tblCellMar>
            <w:top w:w="0" w:type="dxa"/>
            <w:left w:w="108" w:type="dxa"/>
            <w:bottom w:w="0" w:type="dxa"/>
            <w:right w:w="108" w:type="dxa"/>
          </w:tblCellMar>
        </w:tblPrEx>
        <w:trPr>
          <w:trHeight w:val="4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综合运维管理系统</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详见技术参数</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套</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p>
        </w:tc>
      </w:tr>
    </w:tbl>
    <w:p>
      <w:pPr>
        <w:rPr>
          <w:highlight w:val="none"/>
        </w:rPr>
      </w:pPr>
    </w:p>
    <w:p>
      <w:pPr>
        <w:rPr>
          <w:rFonts w:ascii="宋体" w:hAnsi="宋体" w:eastAsia="宋体"/>
          <w:highlight w:val="none"/>
        </w:rPr>
      </w:pPr>
      <w:r>
        <w:rPr>
          <w:rFonts w:ascii="宋体" w:hAnsi="宋体" w:eastAsia="宋体"/>
          <w:highlight w:val="none"/>
        </w:rPr>
        <w:t>2</w:t>
      </w:r>
      <w:r>
        <w:rPr>
          <w:rFonts w:hint="eastAsia" w:ascii="宋体" w:hAnsi="宋体" w:eastAsia="宋体"/>
          <w:highlight w:val="none"/>
        </w:rPr>
        <w:t>、设备参数</w:t>
      </w:r>
    </w:p>
    <w:tbl>
      <w:tblPr>
        <w:tblStyle w:val="7"/>
        <w:tblW w:w="8990" w:type="dxa"/>
        <w:tblInd w:w="-147" w:type="dxa"/>
        <w:tblLayout w:type="autofit"/>
        <w:tblCellMar>
          <w:top w:w="0" w:type="dxa"/>
          <w:left w:w="108" w:type="dxa"/>
          <w:bottom w:w="0" w:type="dxa"/>
          <w:right w:w="108" w:type="dxa"/>
        </w:tblCellMar>
      </w:tblPr>
      <w:tblGrid>
        <w:gridCol w:w="536"/>
        <w:gridCol w:w="1076"/>
        <w:gridCol w:w="6209"/>
        <w:gridCol w:w="536"/>
        <w:gridCol w:w="633"/>
      </w:tblGrid>
      <w:tr>
        <w:tblPrEx>
          <w:tblCellMar>
            <w:top w:w="0" w:type="dxa"/>
            <w:left w:w="108" w:type="dxa"/>
            <w:bottom w:w="0" w:type="dxa"/>
            <w:right w:w="108" w:type="dxa"/>
          </w:tblCellMar>
        </w:tblPrEx>
        <w:trPr>
          <w:trHeight w:val="300" w:hRule="atLeast"/>
        </w:trPr>
        <w:tc>
          <w:tcPr>
            <w:tcW w:w="53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 w:val="20"/>
                <w:szCs w:val="20"/>
                <w:highlight w:val="none"/>
              </w:rPr>
            </w:pPr>
            <w:r>
              <w:rPr>
                <w:rFonts w:hint="eastAsia" w:ascii="宋体" w:hAnsi="宋体"/>
                <w:sz w:val="20"/>
                <w:szCs w:val="20"/>
                <w:highlight w:val="none"/>
              </w:rPr>
              <w:t>序号</w:t>
            </w:r>
          </w:p>
        </w:tc>
        <w:tc>
          <w:tcPr>
            <w:tcW w:w="107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sz w:val="20"/>
                <w:szCs w:val="20"/>
                <w:highlight w:val="none"/>
              </w:rPr>
            </w:pPr>
            <w:r>
              <w:rPr>
                <w:rFonts w:hint="eastAsia" w:ascii="宋体" w:hAnsi="宋体"/>
                <w:sz w:val="20"/>
                <w:szCs w:val="20"/>
                <w:highlight w:val="none"/>
              </w:rPr>
              <w:t>产品名称</w:t>
            </w:r>
          </w:p>
        </w:tc>
        <w:tc>
          <w:tcPr>
            <w:tcW w:w="6209"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sz w:val="20"/>
                <w:szCs w:val="20"/>
                <w:highlight w:val="none"/>
              </w:rPr>
            </w:pPr>
            <w:r>
              <w:rPr>
                <w:rFonts w:hint="eastAsia" w:ascii="宋体" w:hAnsi="宋体"/>
                <w:sz w:val="20"/>
                <w:szCs w:val="20"/>
                <w:highlight w:val="none"/>
              </w:rPr>
              <w:t>主要技术参数</w:t>
            </w:r>
          </w:p>
        </w:tc>
        <w:tc>
          <w:tcPr>
            <w:tcW w:w="53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sz w:val="20"/>
                <w:szCs w:val="20"/>
                <w:highlight w:val="none"/>
              </w:rPr>
            </w:pPr>
            <w:r>
              <w:rPr>
                <w:rFonts w:hint="eastAsia" w:ascii="宋体" w:hAnsi="宋体"/>
                <w:sz w:val="20"/>
                <w:szCs w:val="20"/>
                <w:highlight w:val="none"/>
              </w:rPr>
              <w:t>单位</w:t>
            </w:r>
          </w:p>
        </w:tc>
        <w:tc>
          <w:tcPr>
            <w:tcW w:w="63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sz w:val="20"/>
                <w:szCs w:val="20"/>
                <w:highlight w:val="none"/>
              </w:rPr>
            </w:pPr>
            <w:r>
              <w:rPr>
                <w:rFonts w:hint="eastAsia" w:ascii="宋体" w:hAnsi="宋体"/>
                <w:sz w:val="20"/>
                <w:szCs w:val="20"/>
                <w:highlight w:val="none"/>
              </w:rPr>
              <w:t>数量</w:t>
            </w:r>
          </w:p>
        </w:tc>
      </w:tr>
      <w:tr>
        <w:tblPrEx>
          <w:tblCellMar>
            <w:top w:w="0" w:type="dxa"/>
            <w:left w:w="108" w:type="dxa"/>
            <w:bottom w:w="0" w:type="dxa"/>
            <w:right w:w="108" w:type="dxa"/>
          </w:tblCellMar>
        </w:tblPrEx>
        <w:trPr>
          <w:trHeight w:val="1512" w:hRule="atLeast"/>
        </w:trPr>
        <w:tc>
          <w:tcPr>
            <w:tcW w:w="536" w:type="dxa"/>
            <w:vMerge w:val="restart"/>
            <w:tcBorders>
              <w:top w:val="nil"/>
              <w:left w:val="single" w:color="auto" w:sz="4" w:space="0"/>
              <w:right w:val="single" w:color="auto" w:sz="4" w:space="0"/>
            </w:tcBorders>
            <w:shd w:val="clear" w:color="auto" w:fill="FFFFFF"/>
            <w:vAlign w:val="center"/>
          </w:tcPr>
          <w:p>
            <w:pPr>
              <w:jc w:val="center"/>
              <w:rPr>
                <w:rFonts w:ascii="宋体" w:hAnsi="宋体"/>
                <w:sz w:val="20"/>
                <w:szCs w:val="20"/>
                <w:highlight w:val="none"/>
              </w:rPr>
            </w:pPr>
            <w:r>
              <w:rPr>
                <w:rFonts w:hint="eastAsia" w:ascii="宋体" w:hAnsi="宋体"/>
                <w:sz w:val="20"/>
                <w:szCs w:val="20"/>
                <w:highlight w:val="none"/>
              </w:rPr>
              <w:t>1</w:t>
            </w:r>
          </w:p>
        </w:tc>
        <w:tc>
          <w:tcPr>
            <w:tcW w:w="1076" w:type="dxa"/>
            <w:tcBorders>
              <w:top w:val="nil"/>
              <w:left w:val="nil"/>
              <w:bottom w:val="single" w:color="auto" w:sz="4" w:space="0"/>
              <w:right w:val="single" w:color="auto" w:sz="4" w:space="0"/>
            </w:tcBorders>
            <w:shd w:val="clear" w:color="auto" w:fill="FFFFFF"/>
            <w:vAlign w:val="center"/>
          </w:tcPr>
          <w:p>
            <w:pPr>
              <w:rPr>
                <w:rFonts w:ascii="宋体" w:hAnsi="宋体"/>
                <w:sz w:val="20"/>
                <w:szCs w:val="20"/>
                <w:highlight w:val="none"/>
              </w:rPr>
            </w:pPr>
            <w:r>
              <w:rPr>
                <w:rFonts w:hint="eastAsia" w:ascii="宋体" w:hAnsi="宋体"/>
                <w:sz w:val="20"/>
                <w:szCs w:val="20"/>
                <w:highlight w:val="none"/>
              </w:rPr>
              <w:t>集成动环控制箱</w:t>
            </w:r>
          </w:p>
        </w:tc>
        <w:tc>
          <w:tcPr>
            <w:tcW w:w="6209" w:type="dxa"/>
            <w:tcBorders>
              <w:top w:val="nil"/>
              <w:left w:val="nil"/>
              <w:bottom w:val="single" w:color="auto" w:sz="4" w:space="0"/>
              <w:right w:val="single" w:color="auto" w:sz="4" w:space="0"/>
            </w:tcBorders>
            <w:shd w:val="clear" w:color="auto" w:fill="FFFFFF"/>
            <w:vAlign w:val="center"/>
          </w:tcPr>
          <w:p>
            <w:pPr>
              <w:rPr>
                <w:rFonts w:ascii="宋体" w:hAnsi="宋体"/>
                <w:sz w:val="20"/>
                <w:szCs w:val="20"/>
                <w:highlight w:val="none"/>
              </w:rPr>
            </w:pPr>
            <w:r>
              <w:rPr>
                <w:rFonts w:hint="eastAsia" w:ascii="宋体" w:hAnsi="宋体"/>
                <w:sz w:val="20"/>
                <w:szCs w:val="20"/>
                <w:highlight w:val="none"/>
              </w:rPr>
              <w:t>竖装箱体尺寸：至少500*550*160毫米，厚度：</w:t>
            </w:r>
            <w:r>
              <w:rPr>
                <w:rFonts w:hint="eastAsia"/>
                <w:highlight w:val="none"/>
              </w:rPr>
              <w:t>≥1</w:t>
            </w:r>
            <w:r>
              <w:rPr>
                <w:rFonts w:ascii="宋体" w:hAnsi="宋体"/>
                <w:sz w:val="20"/>
                <w:szCs w:val="20"/>
                <w:highlight w:val="none"/>
              </w:rPr>
              <w:t>.2</w:t>
            </w:r>
            <w:r>
              <w:rPr>
                <w:rFonts w:hint="eastAsia" w:ascii="宋体" w:hAnsi="宋体"/>
                <w:sz w:val="20"/>
                <w:szCs w:val="20"/>
                <w:highlight w:val="none"/>
              </w:rPr>
              <w:t>毫米钢板</w:t>
            </w:r>
          </w:p>
          <w:p>
            <w:pPr>
              <w:rPr>
                <w:rFonts w:ascii="宋体" w:hAnsi="宋体"/>
                <w:sz w:val="20"/>
                <w:szCs w:val="20"/>
                <w:highlight w:val="none"/>
              </w:rPr>
            </w:pPr>
            <w:r>
              <w:rPr>
                <w:rFonts w:hint="eastAsia" w:ascii="宋体" w:hAnsi="宋体"/>
                <w:sz w:val="20"/>
                <w:szCs w:val="20"/>
                <w:highlight w:val="none"/>
              </w:rPr>
              <w:t>配置12V电控锁能通过网关实现远程开锁并配有备用机械开锁装置</w:t>
            </w:r>
          </w:p>
          <w:p>
            <w:pPr>
              <w:rPr>
                <w:rFonts w:ascii="宋体" w:hAnsi="宋体"/>
                <w:sz w:val="20"/>
                <w:highlight w:val="none"/>
              </w:rPr>
            </w:pPr>
            <w:r>
              <w:rPr>
                <w:rFonts w:hint="eastAsia" w:ascii="宋体" w:hAnsi="宋体"/>
                <w:sz w:val="20"/>
                <w:szCs w:val="20"/>
                <w:highlight w:val="none"/>
              </w:rPr>
              <w:t>配置</w:t>
            </w:r>
            <w:r>
              <w:rPr>
                <w:rFonts w:hint="eastAsia" w:ascii="宋体" w:hAnsi="宋体"/>
                <w:sz w:val="20"/>
                <w:highlight w:val="none"/>
              </w:rPr>
              <w:t>模块化化轨道式1</w:t>
            </w:r>
            <w:r>
              <w:rPr>
                <w:rFonts w:ascii="宋体" w:hAnsi="宋体"/>
                <w:sz w:val="20"/>
                <w:highlight w:val="none"/>
              </w:rPr>
              <w:t>2</w:t>
            </w:r>
            <w:r>
              <w:rPr>
                <w:rFonts w:hint="eastAsia" w:ascii="宋体" w:hAnsi="宋体"/>
                <w:sz w:val="20"/>
                <w:highlight w:val="none"/>
              </w:rPr>
              <w:t>V1</w:t>
            </w:r>
            <w:r>
              <w:rPr>
                <w:rFonts w:ascii="宋体" w:hAnsi="宋体"/>
                <w:sz w:val="20"/>
                <w:highlight w:val="none"/>
              </w:rPr>
              <w:t>20</w:t>
            </w:r>
            <w:r>
              <w:rPr>
                <w:rFonts w:hint="eastAsia" w:ascii="宋体" w:hAnsi="宋体"/>
                <w:sz w:val="20"/>
                <w:highlight w:val="none"/>
              </w:rPr>
              <w:t>瓦直流工业电源模块，单输出工业电源，外形超薄，可安装在</w:t>
            </w:r>
            <w:r>
              <w:rPr>
                <w:rFonts w:ascii="宋体" w:hAnsi="宋体"/>
                <w:sz w:val="20"/>
                <w:highlight w:val="none"/>
              </w:rPr>
              <w:t>TS-35/7.5或TS-35/15安装导轨上且设计用于在机柜内节省空间。符合 EN61000-3-2标准且设计采用金属壳体。可在空气对流下-20°C 至60°C的环境温度下工作。支持短路/过载/过电压/过温保护，可以安装在DIN导轨TS35/7.5或15上，通过自然空气对流进行冷却，通过UL 508（工业控制设备）认证，通过100%满载老化测试。交流输入直流输出，输入电压：90-250V，输出电压12V直流，输出电流10A，额定功率</w:t>
            </w:r>
            <w:r>
              <w:rPr>
                <w:rFonts w:hint="eastAsia" w:ascii="宋体" w:hAnsi="宋体"/>
                <w:sz w:val="20"/>
                <w:highlight w:val="none"/>
              </w:rPr>
              <w:t>达</w:t>
            </w:r>
            <w:r>
              <w:rPr>
                <w:rFonts w:ascii="宋体" w:hAnsi="宋体"/>
                <w:sz w:val="20"/>
                <w:highlight w:val="none"/>
              </w:rPr>
              <w:t>120W，</w:t>
            </w:r>
            <w:r>
              <w:rPr>
                <w:rFonts w:hint="eastAsia" w:ascii="宋体" w:hAnsi="宋体"/>
                <w:sz w:val="20"/>
                <w:highlight w:val="none"/>
              </w:rPr>
              <w:t>开关模式，尺寸（高</w:t>
            </w:r>
            <w:r>
              <w:rPr>
                <w:rFonts w:ascii="宋体" w:hAnsi="宋体"/>
                <w:sz w:val="20"/>
                <w:highlight w:val="none"/>
              </w:rPr>
              <w:t>*深*宽）不大于125*114*40mm，符合RoHS标准。</w:t>
            </w:r>
          </w:p>
          <w:p>
            <w:pPr>
              <w:rPr>
                <w:rFonts w:ascii="宋体" w:hAnsi="宋体"/>
                <w:sz w:val="20"/>
                <w:highlight w:val="none"/>
              </w:rPr>
            </w:pPr>
            <w:r>
              <w:rPr>
                <w:rFonts w:hint="eastAsia" w:ascii="宋体" w:hAnsi="宋体"/>
                <w:sz w:val="20"/>
                <w:highlight w:val="none"/>
              </w:rPr>
              <w:t>配置通用铁壳1</w:t>
            </w:r>
            <w:r>
              <w:rPr>
                <w:rFonts w:ascii="宋体" w:hAnsi="宋体"/>
                <w:sz w:val="20"/>
                <w:highlight w:val="none"/>
              </w:rPr>
              <w:t>2</w:t>
            </w:r>
            <w:r>
              <w:rPr>
                <w:rFonts w:hint="eastAsia" w:ascii="宋体" w:hAnsi="宋体"/>
                <w:sz w:val="20"/>
                <w:highlight w:val="none"/>
              </w:rPr>
              <w:t>V直流供电5口千兆交换机或10GPON-ONU</w:t>
            </w:r>
          </w:p>
          <w:p>
            <w:pPr>
              <w:rPr>
                <w:rFonts w:ascii="宋体" w:hAnsi="宋体"/>
                <w:sz w:val="20"/>
                <w:szCs w:val="20"/>
                <w:highlight w:val="none"/>
              </w:rPr>
            </w:pPr>
            <w:r>
              <w:rPr>
                <w:rFonts w:hint="eastAsia" w:ascii="宋体" w:hAnsi="宋体"/>
                <w:sz w:val="20"/>
                <w:szCs w:val="20"/>
                <w:highlight w:val="none"/>
              </w:rPr>
              <w:t>配置1毫米厚标准35mm铝轨道</w:t>
            </w:r>
          </w:p>
          <w:p>
            <w:pPr>
              <w:rPr>
                <w:rFonts w:ascii="宋体" w:hAnsi="宋体"/>
                <w:sz w:val="20"/>
                <w:szCs w:val="20"/>
                <w:highlight w:val="none"/>
              </w:rPr>
            </w:pPr>
            <w:r>
              <w:rPr>
                <w:rFonts w:hint="eastAsia" w:ascii="宋体" w:hAnsi="宋体"/>
                <w:sz w:val="20"/>
                <w:szCs w:val="20"/>
                <w:highlight w:val="none"/>
              </w:rPr>
              <w:t>集成动力环境监控网关</w:t>
            </w:r>
          </w:p>
          <w:p>
            <w:pPr>
              <w:rPr>
                <w:rFonts w:ascii="宋体" w:hAnsi="宋体"/>
                <w:sz w:val="20"/>
                <w:szCs w:val="20"/>
                <w:highlight w:val="none"/>
              </w:rPr>
            </w:pPr>
            <w:r>
              <w:rPr>
                <w:rFonts w:hint="eastAsia" w:ascii="宋体" w:hAnsi="宋体"/>
                <w:sz w:val="20"/>
                <w:szCs w:val="20"/>
                <w:highlight w:val="none"/>
              </w:rPr>
              <w:t>集成轨道式温湿度传感器</w:t>
            </w:r>
          </w:p>
          <w:p>
            <w:pPr>
              <w:rPr>
                <w:rFonts w:ascii="宋体" w:hAnsi="宋体"/>
                <w:sz w:val="20"/>
                <w:szCs w:val="20"/>
                <w:highlight w:val="none"/>
              </w:rPr>
            </w:pPr>
            <w:r>
              <w:rPr>
                <w:rFonts w:hint="eastAsia" w:ascii="宋体" w:hAnsi="宋体"/>
                <w:sz w:val="20"/>
                <w:szCs w:val="20"/>
                <w:highlight w:val="none"/>
              </w:rPr>
              <w:t>集成RS485隔离型集线器</w:t>
            </w:r>
          </w:p>
          <w:p>
            <w:pPr>
              <w:rPr>
                <w:rFonts w:ascii="宋体" w:hAnsi="宋体"/>
                <w:sz w:val="20"/>
                <w:szCs w:val="20"/>
                <w:highlight w:val="none"/>
              </w:rPr>
            </w:pPr>
            <w:r>
              <w:rPr>
                <w:rFonts w:hint="eastAsia" w:ascii="宋体" w:hAnsi="宋体"/>
                <w:sz w:val="20"/>
                <w:szCs w:val="20"/>
                <w:highlight w:val="none"/>
              </w:rPr>
              <w:t>集成RS485单相轨道式电表+</w:t>
            </w:r>
            <w:r>
              <w:rPr>
                <w:rFonts w:ascii="宋体" w:hAnsi="宋体"/>
                <w:sz w:val="20"/>
                <w:szCs w:val="20"/>
                <w:highlight w:val="none"/>
              </w:rPr>
              <w:t>2</w:t>
            </w:r>
            <w:r>
              <w:rPr>
                <w:rFonts w:hint="eastAsia" w:ascii="宋体" w:hAnsi="宋体"/>
                <w:sz w:val="20"/>
                <w:szCs w:val="20"/>
                <w:highlight w:val="none"/>
              </w:rPr>
              <w:t>P空开（63套）</w:t>
            </w:r>
          </w:p>
          <w:p>
            <w:pPr>
              <w:rPr>
                <w:rFonts w:ascii="宋体" w:hAnsi="宋体"/>
                <w:sz w:val="20"/>
                <w:szCs w:val="20"/>
                <w:highlight w:val="none"/>
              </w:rPr>
            </w:pPr>
            <w:r>
              <w:rPr>
                <w:rFonts w:hint="eastAsia" w:ascii="宋体" w:hAnsi="宋体"/>
                <w:sz w:val="20"/>
                <w:szCs w:val="20"/>
                <w:highlight w:val="none"/>
              </w:rPr>
              <w:t>集成RS485三相轨道式电表+</w:t>
            </w:r>
            <w:r>
              <w:rPr>
                <w:rFonts w:ascii="宋体" w:hAnsi="宋体"/>
                <w:sz w:val="20"/>
                <w:szCs w:val="20"/>
                <w:highlight w:val="none"/>
              </w:rPr>
              <w:t>4</w:t>
            </w:r>
            <w:r>
              <w:rPr>
                <w:rFonts w:hint="eastAsia" w:ascii="宋体" w:hAnsi="宋体"/>
                <w:sz w:val="20"/>
                <w:szCs w:val="20"/>
                <w:highlight w:val="none"/>
              </w:rPr>
              <w:t>P空开（2套）</w:t>
            </w:r>
          </w:p>
          <w:p>
            <w:pPr>
              <w:rPr>
                <w:rFonts w:ascii="宋体" w:hAnsi="宋体"/>
                <w:sz w:val="20"/>
                <w:highlight w:val="none"/>
              </w:rPr>
            </w:pPr>
            <w:r>
              <w:rPr>
                <w:rFonts w:hint="eastAsia" w:ascii="宋体" w:hAnsi="宋体"/>
                <w:sz w:val="20"/>
                <w:szCs w:val="20"/>
                <w:highlight w:val="none"/>
              </w:rPr>
              <w:t>集成</w:t>
            </w:r>
            <w:r>
              <w:rPr>
                <w:rFonts w:hint="eastAsia" w:ascii="宋体" w:hAnsi="宋体"/>
                <w:sz w:val="20"/>
                <w:highlight w:val="none"/>
              </w:rPr>
              <w:t>RS485计量智能2P空气开关</w:t>
            </w:r>
            <w:r>
              <w:rPr>
                <w:rFonts w:hint="eastAsia" w:ascii="宋体" w:hAnsi="宋体"/>
                <w:sz w:val="20"/>
                <w:szCs w:val="20"/>
                <w:highlight w:val="none"/>
              </w:rPr>
              <w:t>（63套）</w:t>
            </w:r>
          </w:p>
          <w:p>
            <w:pPr>
              <w:rPr>
                <w:rFonts w:ascii="宋体" w:hAnsi="宋体"/>
                <w:sz w:val="20"/>
                <w:highlight w:val="none"/>
              </w:rPr>
            </w:pPr>
            <w:r>
              <w:rPr>
                <w:rFonts w:hint="eastAsia" w:ascii="宋体" w:hAnsi="宋体"/>
                <w:sz w:val="20"/>
                <w:szCs w:val="20"/>
                <w:highlight w:val="none"/>
              </w:rPr>
              <w:t>集成</w:t>
            </w:r>
            <w:r>
              <w:rPr>
                <w:rFonts w:hint="eastAsia" w:ascii="宋体" w:hAnsi="宋体"/>
                <w:sz w:val="20"/>
                <w:highlight w:val="none"/>
              </w:rPr>
              <w:t>RS485计量智能4P空气开关</w:t>
            </w:r>
            <w:r>
              <w:rPr>
                <w:rFonts w:hint="eastAsia" w:ascii="宋体" w:hAnsi="宋体"/>
                <w:sz w:val="20"/>
                <w:szCs w:val="20"/>
                <w:highlight w:val="none"/>
              </w:rPr>
              <w:t>（2套）</w:t>
            </w:r>
          </w:p>
          <w:p>
            <w:pPr>
              <w:rPr>
                <w:rFonts w:ascii="宋体" w:hAnsi="宋体"/>
                <w:sz w:val="20"/>
                <w:highlight w:val="none"/>
              </w:rPr>
            </w:pPr>
            <w:r>
              <w:rPr>
                <w:rFonts w:hint="eastAsia" w:ascii="宋体" w:hAnsi="宋体"/>
                <w:sz w:val="20"/>
                <w:highlight w:val="none"/>
              </w:rPr>
              <w:t>配置箱体安装附件及设备连接线材</w:t>
            </w:r>
          </w:p>
        </w:tc>
        <w:tc>
          <w:tcPr>
            <w:tcW w:w="536" w:type="dxa"/>
            <w:vMerge w:val="restart"/>
            <w:tcBorders>
              <w:top w:val="nil"/>
              <w:left w:val="nil"/>
              <w:right w:val="single" w:color="auto" w:sz="4" w:space="0"/>
            </w:tcBorders>
            <w:shd w:val="clear" w:color="auto" w:fill="FFFFFF"/>
            <w:vAlign w:val="center"/>
          </w:tcPr>
          <w:p>
            <w:pPr>
              <w:jc w:val="center"/>
              <w:rPr>
                <w:rFonts w:ascii="宋体" w:hAnsi="宋体"/>
                <w:sz w:val="20"/>
                <w:szCs w:val="20"/>
                <w:highlight w:val="none"/>
              </w:rPr>
            </w:pPr>
            <w:r>
              <w:rPr>
                <w:rFonts w:hint="eastAsia" w:ascii="宋体" w:hAnsi="宋体"/>
                <w:sz w:val="20"/>
                <w:szCs w:val="20"/>
                <w:highlight w:val="none"/>
              </w:rPr>
              <w:t>套</w:t>
            </w:r>
          </w:p>
        </w:tc>
        <w:tc>
          <w:tcPr>
            <w:tcW w:w="633" w:type="dxa"/>
            <w:vMerge w:val="restart"/>
            <w:tcBorders>
              <w:top w:val="nil"/>
              <w:left w:val="nil"/>
              <w:right w:val="single" w:color="auto" w:sz="4" w:space="0"/>
            </w:tcBorders>
            <w:shd w:val="clear" w:color="auto" w:fill="FFFFFF"/>
            <w:vAlign w:val="center"/>
          </w:tcPr>
          <w:p>
            <w:pPr>
              <w:jc w:val="center"/>
              <w:rPr>
                <w:rFonts w:ascii="宋体" w:hAnsi="宋体"/>
                <w:sz w:val="20"/>
                <w:szCs w:val="20"/>
                <w:highlight w:val="none"/>
              </w:rPr>
            </w:pPr>
            <w:r>
              <w:rPr>
                <w:rFonts w:hint="eastAsia" w:ascii="宋体" w:hAnsi="宋体"/>
                <w:sz w:val="20"/>
                <w:szCs w:val="20"/>
                <w:highlight w:val="none"/>
              </w:rPr>
              <w:t>65</w:t>
            </w:r>
          </w:p>
        </w:tc>
      </w:tr>
      <w:tr>
        <w:tblPrEx>
          <w:tblCellMar>
            <w:top w:w="0" w:type="dxa"/>
            <w:left w:w="108" w:type="dxa"/>
            <w:bottom w:w="0" w:type="dxa"/>
            <w:right w:w="108" w:type="dxa"/>
          </w:tblCellMar>
        </w:tblPrEx>
        <w:trPr>
          <w:trHeight w:val="558" w:hRule="atLeast"/>
        </w:trPr>
        <w:tc>
          <w:tcPr>
            <w:tcW w:w="536" w:type="dxa"/>
            <w:vMerge w:val="continue"/>
            <w:tcBorders>
              <w:left w:val="single" w:color="auto" w:sz="4" w:space="0"/>
              <w:right w:val="single" w:color="auto" w:sz="4" w:space="0"/>
            </w:tcBorders>
            <w:shd w:val="clear" w:color="auto" w:fill="FFFFFF"/>
            <w:vAlign w:val="center"/>
          </w:tcPr>
          <w:p>
            <w:pPr>
              <w:jc w:val="center"/>
              <w:rPr>
                <w:rFonts w:ascii="宋体" w:hAnsi="宋体"/>
                <w:sz w:val="20"/>
                <w:szCs w:val="20"/>
                <w:highlight w:val="none"/>
              </w:rPr>
            </w:pPr>
          </w:p>
        </w:tc>
        <w:tc>
          <w:tcPr>
            <w:tcW w:w="1076" w:type="dxa"/>
            <w:vMerge w:val="restart"/>
            <w:tcBorders>
              <w:top w:val="nil"/>
              <w:left w:val="nil"/>
              <w:right w:val="single" w:color="auto" w:sz="4" w:space="0"/>
            </w:tcBorders>
            <w:shd w:val="clear" w:color="auto" w:fill="FFFFFF"/>
            <w:vAlign w:val="center"/>
          </w:tcPr>
          <w:p>
            <w:pPr>
              <w:jc w:val="center"/>
              <w:rPr>
                <w:rFonts w:ascii="宋体" w:hAnsi="宋体"/>
                <w:sz w:val="20"/>
                <w:szCs w:val="20"/>
                <w:highlight w:val="none"/>
              </w:rPr>
            </w:pPr>
          </w:p>
        </w:tc>
        <w:tc>
          <w:tcPr>
            <w:tcW w:w="6209" w:type="dxa"/>
            <w:tcBorders>
              <w:top w:val="nil"/>
              <w:left w:val="nil"/>
              <w:bottom w:val="single" w:color="auto" w:sz="4" w:space="0"/>
              <w:right w:val="single" w:color="auto" w:sz="4" w:space="0"/>
            </w:tcBorders>
            <w:shd w:val="clear" w:color="auto" w:fill="FFFFFF"/>
            <w:vAlign w:val="center"/>
          </w:tcPr>
          <w:p>
            <w:pPr>
              <w:rPr>
                <w:sz w:val="20"/>
                <w:szCs w:val="20"/>
                <w:highlight w:val="none"/>
              </w:rPr>
            </w:pPr>
            <w:r>
              <w:rPr>
                <w:rFonts w:hint="eastAsia" w:ascii="宋体" w:hAnsi="宋体"/>
                <w:sz w:val="20"/>
                <w:szCs w:val="20"/>
                <w:highlight w:val="none"/>
              </w:rPr>
              <w:t>动力环境监控网关技术要求：</w:t>
            </w:r>
          </w:p>
          <w:p>
            <w:pPr>
              <w:rPr>
                <w:sz w:val="20"/>
                <w:szCs w:val="20"/>
                <w:highlight w:val="none"/>
              </w:rPr>
            </w:pPr>
            <w:r>
              <w:rPr>
                <w:rFonts w:hint="eastAsia"/>
                <w:sz w:val="20"/>
                <w:szCs w:val="20"/>
                <w:highlight w:val="none"/>
              </w:rPr>
              <w:t>网关能稳定、可靠实现设备控制，状态检测，传感器数据采集，能通过4G网络与服务器采用MQTT协议通信（协议内容可配置）</w:t>
            </w:r>
          </w:p>
          <w:p>
            <w:pPr>
              <w:rPr>
                <w:sz w:val="20"/>
                <w:szCs w:val="20"/>
                <w:highlight w:val="none"/>
              </w:rPr>
            </w:pPr>
            <w:r>
              <w:rPr>
                <w:rFonts w:hint="eastAsia"/>
                <w:sz w:val="20"/>
                <w:szCs w:val="20"/>
                <w:highlight w:val="none"/>
              </w:rPr>
              <w:t>1、支持直流12-24V宽电压供电；</w:t>
            </w:r>
          </w:p>
          <w:p>
            <w:pPr>
              <w:rPr>
                <w:sz w:val="20"/>
                <w:szCs w:val="20"/>
                <w:highlight w:val="none"/>
              </w:rPr>
            </w:pPr>
            <w:r>
              <w:rPr>
                <w:rFonts w:hint="eastAsia"/>
                <w:sz w:val="20"/>
                <w:szCs w:val="20"/>
                <w:highlight w:val="none"/>
              </w:rPr>
              <w:t>2、支持电压ADC检查检查范围0-24V；</w:t>
            </w:r>
          </w:p>
          <w:p>
            <w:pPr>
              <w:rPr>
                <w:sz w:val="20"/>
                <w:szCs w:val="20"/>
                <w:highlight w:val="none"/>
              </w:rPr>
            </w:pPr>
            <w:r>
              <w:rPr>
                <w:rFonts w:hint="eastAsia"/>
                <w:sz w:val="20"/>
                <w:szCs w:val="20"/>
                <w:highlight w:val="none"/>
              </w:rPr>
              <w:t>3、支持标准35mm导轨安装；</w:t>
            </w:r>
          </w:p>
          <w:p>
            <w:pPr>
              <w:rPr>
                <w:sz w:val="20"/>
                <w:szCs w:val="20"/>
                <w:highlight w:val="none"/>
              </w:rPr>
            </w:pPr>
            <w:r>
              <w:rPr>
                <w:rFonts w:hint="eastAsia"/>
                <w:sz w:val="20"/>
                <w:szCs w:val="20"/>
                <w:highlight w:val="none"/>
              </w:rPr>
              <w:t>4、支持接触放电±8KV，空气放电±15KV；</w:t>
            </w:r>
          </w:p>
          <w:p>
            <w:pPr>
              <w:rPr>
                <w:sz w:val="20"/>
                <w:szCs w:val="20"/>
                <w:highlight w:val="none"/>
              </w:rPr>
            </w:pPr>
            <w:r>
              <w:rPr>
                <w:rFonts w:hint="eastAsia"/>
                <w:sz w:val="20"/>
                <w:szCs w:val="20"/>
                <w:highlight w:val="none"/>
              </w:rPr>
              <w:t>5、支持1路RS485，波特率支持9600；</w:t>
            </w:r>
          </w:p>
          <w:p>
            <w:pPr>
              <w:rPr>
                <w:sz w:val="20"/>
                <w:szCs w:val="20"/>
                <w:highlight w:val="none"/>
              </w:rPr>
            </w:pPr>
            <w:r>
              <w:rPr>
                <w:rFonts w:hint="eastAsia"/>
                <w:sz w:val="20"/>
                <w:szCs w:val="20"/>
                <w:highlight w:val="none"/>
              </w:rPr>
              <w:t>6、支持1路可控电源输出(控制对外供地电源)；</w:t>
            </w:r>
          </w:p>
          <w:p>
            <w:pPr>
              <w:rPr>
                <w:sz w:val="20"/>
                <w:szCs w:val="20"/>
                <w:highlight w:val="none"/>
              </w:rPr>
            </w:pPr>
            <w:r>
              <w:rPr>
                <w:rFonts w:hint="eastAsia"/>
                <w:sz w:val="20"/>
                <w:szCs w:val="20"/>
                <w:highlight w:val="none"/>
              </w:rPr>
              <w:t>7、支持4路干接点数字量输入(3.3-24V)；</w:t>
            </w:r>
          </w:p>
          <w:p>
            <w:pPr>
              <w:rPr>
                <w:sz w:val="20"/>
                <w:szCs w:val="20"/>
                <w:highlight w:val="none"/>
              </w:rPr>
            </w:pPr>
            <w:r>
              <w:rPr>
                <w:rFonts w:hint="eastAsia"/>
                <w:sz w:val="20"/>
                <w:szCs w:val="20"/>
                <w:highlight w:val="none"/>
              </w:rPr>
              <w:t>8、支持4路继电器输出(220VAC/10A )，软重启不改变继电器状态；</w:t>
            </w:r>
          </w:p>
          <w:p>
            <w:pPr>
              <w:rPr>
                <w:sz w:val="20"/>
                <w:szCs w:val="20"/>
                <w:highlight w:val="none"/>
              </w:rPr>
            </w:pPr>
            <w:r>
              <w:rPr>
                <w:rFonts w:hint="eastAsia"/>
                <w:sz w:val="20"/>
                <w:szCs w:val="20"/>
                <w:highlight w:val="none"/>
              </w:rPr>
              <w:t>9、支持1路SPK，可以直接驱动8欧2W喇叭，进行TTS播报；</w:t>
            </w:r>
          </w:p>
          <w:p>
            <w:pPr>
              <w:rPr>
                <w:sz w:val="20"/>
                <w:szCs w:val="20"/>
                <w:highlight w:val="none"/>
              </w:rPr>
            </w:pPr>
            <w:r>
              <w:rPr>
                <w:rFonts w:hint="eastAsia"/>
                <w:sz w:val="20"/>
                <w:szCs w:val="20"/>
                <w:highlight w:val="none"/>
              </w:rPr>
              <w:t>10、支持1路耳机，可以外接带功放喇叭，进行TTS播报；</w:t>
            </w:r>
          </w:p>
          <w:p>
            <w:pPr>
              <w:rPr>
                <w:sz w:val="20"/>
                <w:szCs w:val="20"/>
                <w:highlight w:val="none"/>
              </w:rPr>
            </w:pPr>
            <w:r>
              <w:rPr>
                <w:rFonts w:hint="eastAsia"/>
                <w:sz w:val="20"/>
                <w:szCs w:val="20"/>
                <w:highlight w:val="none"/>
              </w:rPr>
              <w:t>11、支持TCP、UDP、MQTT、阿里云IOT 、腾讯云、HTTP透传；</w:t>
            </w:r>
          </w:p>
          <w:p>
            <w:pPr>
              <w:rPr>
                <w:sz w:val="20"/>
                <w:szCs w:val="20"/>
                <w:highlight w:val="none"/>
              </w:rPr>
            </w:pPr>
            <w:r>
              <w:rPr>
                <w:rFonts w:hint="eastAsia"/>
                <w:sz w:val="20"/>
                <w:szCs w:val="20"/>
                <w:highlight w:val="none"/>
              </w:rPr>
              <w:t>12、支持自动轮询功能和自定义任务；</w:t>
            </w:r>
          </w:p>
          <w:p>
            <w:pPr>
              <w:rPr>
                <w:sz w:val="20"/>
                <w:szCs w:val="20"/>
                <w:highlight w:val="none"/>
              </w:rPr>
            </w:pPr>
            <w:r>
              <w:rPr>
                <w:rFonts w:hint="eastAsia"/>
                <w:sz w:val="20"/>
                <w:szCs w:val="20"/>
                <w:highlight w:val="none"/>
              </w:rPr>
              <w:t>13、支持基站定位信息周期上报；</w:t>
            </w:r>
          </w:p>
          <w:p>
            <w:pPr>
              <w:rPr>
                <w:rFonts w:hint="eastAsia"/>
                <w:sz w:val="20"/>
                <w:szCs w:val="20"/>
                <w:highlight w:val="none"/>
              </w:rPr>
            </w:pPr>
            <w:r>
              <w:rPr>
                <w:rFonts w:hint="eastAsia"/>
                <w:sz w:val="20"/>
                <w:szCs w:val="20"/>
                <w:highlight w:val="none"/>
              </w:rPr>
              <w:t>14、支持数据流模板，支持modbus与json数据格式互转</w:t>
            </w:r>
          </w:p>
          <w:p>
            <w:pPr>
              <w:rPr>
                <w:sz w:val="20"/>
                <w:szCs w:val="20"/>
                <w:highlight w:val="none"/>
              </w:rPr>
            </w:pPr>
            <w:r>
              <w:rPr>
                <w:rFonts w:hint="eastAsia"/>
                <w:sz w:val="20"/>
                <w:szCs w:val="20"/>
                <w:highlight w:val="none"/>
              </w:rPr>
              <w:t>15、支持二次开发</w:t>
            </w:r>
          </w:p>
          <w:p>
            <w:pPr>
              <w:rPr>
                <w:sz w:val="20"/>
                <w:szCs w:val="20"/>
                <w:highlight w:val="none"/>
              </w:rPr>
            </w:pPr>
            <w:r>
              <w:rPr>
                <w:rFonts w:hint="eastAsia"/>
                <w:sz w:val="20"/>
                <w:szCs w:val="20"/>
                <w:highlight w:val="none"/>
              </w:rPr>
              <w:t>1</w:t>
            </w:r>
            <w:r>
              <w:rPr>
                <w:sz w:val="20"/>
                <w:szCs w:val="20"/>
                <w:highlight w:val="none"/>
              </w:rPr>
              <w:t>6</w:t>
            </w:r>
            <w:r>
              <w:rPr>
                <w:rFonts w:hint="eastAsia"/>
                <w:sz w:val="20"/>
                <w:szCs w:val="20"/>
                <w:highlight w:val="none"/>
              </w:rPr>
              <w:t>、配置6</w:t>
            </w:r>
            <w:r>
              <w:rPr>
                <w:sz w:val="20"/>
                <w:szCs w:val="20"/>
                <w:highlight w:val="none"/>
              </w:rPr>
              <w:t>0</w:t>
            </w:r>
            <w:r>
              <w:rPr>
                <w:rFonts w:hint="eastAsia"/>
                <w:sz w:val="20"/>
                <w:szCs w:val="20"/>
                <w:highlight w:val="none"/>
              </w:rPr>
              <w:t>个月移动4G物联网流量卡，每月至少1</w:t>
            </w:r>
            <w:r>
              <w:rPr>
                <w:sz w:val="20"/>
                <w:szCs w:val="20"/>
                <w:highlight w:val="none"/>
              </w:rPr>
              <w:t>00</w:t>
            </w:r>
            <w:r>
              <w:rPr>
                <w:rFonts w:hint="eastAsia"/>
                <w:sz w:val="20"/>
                <w:szCs w:val="20"/>
                <w:highlight w:val="none"/>
              </w:rPr>
              <w:t>M流量</w:t>
            </w:r>
          </w:p>
        </w:tc>
        <w:tc>
          <w:tcPr>
            <w:tcW w:w="536" w:type="dxa"/>
            <w:vMerge w:val="continue"/>
            <w:tcBorders>
              <w:left w:val="nil"/>
              <w:right w:val="single" w:color="auto" w:sz="4" w:space="0"/>
            </w:tcBorders>
            <w:shd w:val="clear" w:color="auto" w:fill="FFFFFF"/>
            <w:vAlign w:val="center"/>
          </w:tcPr>
          <w:p>
            <w:pPr>
              <w:jc w:val="center"/>
              <w:rPr>
                <w:rFonts w:ascii="宋体" w:hAnsi="宋体"/>
                <w:sz w:val="20"/>
                <w:szCs w:val="20"/>
                <w:highlight w:val="none"/>
              </w:rPr>
            </w:pPr>
          </w:p>
        </w:tc>
        <w:tc>
          <w:tcPr>
            <w:tcW w:w="633" w:type="dxa"/>
            <w:vMerge w:val="continue"/>
            <w:tcBorders>
              <w:left w:val="nil"/>
              <w:right w:val="single" w:color="auto" w:sz="4" w:space="0"/>
            </w:tcBorders>
            <w:shd w:val="clear" w:color="auto" w:fill="FFFFFF"/>
            <w:vAlign w:val="center"/>
          </w:tcPr>
          <w:p>
            <w:pPr>
              <w:jc w:val="center"/>
              <w:rPr>
                <w:rFonts w:ascii="宋体" w:hAnsi="宋体"/>
                <w:sz w:val="20"/>
                <w:szCs w:val="20"/>
                <w:highlight w:val="none"/>
              </w:rPr>
            </w:pPr>
          </w:p>
        </w:tc>
      </w:tr>
      <w:tr>
        <w:tblPrEx>
          <w:tblCellMar>
            <w:top w:w="0" w:type="dxa"/>
            <w:left w:w="108" w:type="dxa"/>
            <w:bottom w:w="0" w:type="dxa"/>
            <w:right w:w="108" w:type="dxa"/>
          </w:tblCellMar>
        </w:tblPrEx>
        <w:trPr>
          <w:trHeight w:val="90" w:hRule="atLeast"/>
        </w:trPr>
        <w:tc>
          <w:tcPr>
            <w:tcW w:w="536" w:type="dxa"/>
            <w:vMerge w:val="continue"/>
            <w:tcBorders>
              <w:left w:val="single" w:color="auto" w:sz="4" w:space="0"/>
              <w:right w:val="single" w:color="auto" w:sz="4" w:space="0"/>
            </w:tcBorders>
            <w:shd w:val="clear" w:color="auto" w:fill="FFFFFF"/>
            <w:vAlign w:val="center"/>
          </w:tcPr>
          <w:p>
            <w:pPr>
              <w:jc w:val="center"/>
              <w:rPr>
                <w:rFonts w:ascii="宋体" w:hAnsi="宋体"/>
                <w:sz w:val="20"/>
                <w:szCs w:val="20"/>
                <w:highlight w:val="none"/>
              </w:rPr>
            </w:pPr>
          </w:p>
        </w:tc>
        <w:tc>
          <w:tcPr>
            <w:tcW w:w="1076" w:type="dxa"/>
            <w:vMerge w:val="continue"/>
            <w:tcBorders>
              <w:left w:val="nil"/>
              <w:right w:val="single" w:color="auto" w:sz="4" w:space="0"/>
            </w:tcBorders>
            <w:shd w:val="clear" w:color="auto" w:fill="FFFFFF"/>
            <w:vAlign w:val="center"/>
          </w:tcPr>
          <w:p>
            <w:pPr>
              <w:jc w:val="center"/>
              <w:rPr>
                <w:rFonts w:ascii="宋体" w:hAnsi="宋体"/>
                <w:sz w:val="20"/>
                <w:szCs w:val="20"/>
                <w:highlight w:val="none"/>
              </w:rPr>
            </w:pPr>
          </w:p>
        </w:tc>
        <w:tc>
          <w:tcPr>
            <w:tcW w:w="6209" w:type="dxa"/>
            <w:tcBorders>
              <w:top w:val="nil"/>
              <w:left w:val="nil"/>
              <w:bottom w:val="single" w:color="auto" w:sz="4" w:space="0"/>
              <w:right w:val="single" w:color="auto" w:sz="4" w:space="0"/>
            </w:tcBorders>
            <w:shd w:val="clear" w:color="auto" w:fill="FFFFFF"/>
            <w:vAlign w:val="center"/>
          </w:tcPr>
          <w:p>
            <w:pPr>
              <w:rPr>
                <w:rFonts w:ascii="宋体" w:hAnsi="宋体"/>
                <w:sz w:val="20"/>
                <w:szCs w:val="20"/>
                <w:highlight w:val="none"/>
              </w:rPr>
            </w:pPr>
            <w:r>
              <w:rPr>
                <w:rFonts w:hint="eastAsia" w:ascii="宋体" w:hAnsi="宋体"/>
                <w:sz w:val="20"/>
                <w:szCs w:val="20"/>
                <w:highlight w:val="none"/>
              </w:rPr>
              <w:t>轨道式温湿度传感器技术要求：</w:t>
            </w:r>
          </w:p>
          <w:p>
            <w:pPr>
              <w:rPr>
                <w:rFonts w:ascii="宋体" w:hAnsi="宋体"/>
                <w:sz w:val="20"/>
                <w:szCs w:val="20"/>
                <w:highlight w:val="none"/>
              </w:rPr>
            </w:pPr>
            <w:r>
              <w:rPr>
                <w:rFonts w:hint="eastAsia" w:ascii="宋体" w:hAnsi="宋体"/>
                <w:sz w:val="20"/>
                <w:szCs w:val="20"/>
                <w:highlight w:val="none"/>
              </w:rPr>
              <w:t xml:space="preserve">1、温度范围： </w:t>
            </w:r>
            <w:r>
              <w:rPr>
                <w:rFonts w:ascii="宋体" w:hAnsi="宋体"/>
                <w:sz w:val="20"/>
                <w:szCs w:val="20"/>
                <w:highlight w:val="none"/>
              </w:rPr>
              <w:t>-2</w:t>
            </w:r>
            <w:r>
              <w:rPr>
                <w:rFonts w:hint="eastAsia" w:ascii="宋体" w:hAnsi="宋体"/>
                <w:sz w:val="20"/>
                <w:szCs w:val="20"/>
                <w:highlight w:val="none"/>
              </w:rPr>
              <w:t>0℃～80℃，温度误差：&lt;±0.5℃。</w:t>
            </w:r>
          </w:p>
          <w:p>
            <w:pPr>
              <w:rPr>
                <w:rFonts w:ascii="宋体" w:hAnsi="宋体"/>
                <w:sz w:val="20"/>
                <w:szCs w:val="20"/>
                <w:highlight w:val="none"/>
              </w:rPr>
            </w:pPr>
            <w:r>
              <w:rPr>
                <w:rFonts w:hint="eastAsia" w:ascii="宋体" w:hAnsi="宋体"/>
                <w:sz w:val="20"/>
                <w:szCs w:val="20"/>
                <w:highlight w:val="none"/>
              </w:rPr>
              <w:t>2、湿度范围 ：0～100%RH，湿度误差 ：&lt;±3%RH。</w:t>
            </w:r>
          </w:p>
          <w:p>
            <w:pPr>
              <w:rPr>
                <w:rFonts w:ascii="宋体" w:hAnsi="宋体"/>
                <w:sz w:val="20"/>
                <w:szCs w:val="20"/>
                <w:highlight w:val="none"/>
              </w:rPr>
            </w:pPr>
            <w:r>
              <w:rPr>
                <w:rFonts w:hint="eastAsia" w:ascii="宋体" w:hAnsi="宋体"/>
                <w:sz w:val="20"/>
                <w:szCs w:val="20"/>
                <w:highlight w:val="none"/>
              </w:rPr>
              <w:t>3、采用高精度数字温度传感器，温度精度不低于0.5℃，湿度精度不低于3%。</w:t>
            </w:r>
          </w:p>
          <w:p>
            <w:pPr>
              <w:rPr>
                <w:rFonts w:ascii="宋体" w:hAnsi="宋体"/>
                <w:sz w:val="20"/>
                <w:szCs w:val="20"/>
                <w:highlight w:val="none"/>
              </w:rPr>
            </w:pPr>
            <w:r>
              <w:rPr>
                <w:rFonts w:hint="eastAsia" w:ascii="宋体" w:hAnsi="宋体"/>
                <w:sz w:val="20"/>
                <w:szCs w:val="20"/>
                <w:highlight w:val="none"/>
              </w:rPr>
              <w:t>4、工作电压DC12</w:t>
            </w:r>
            <w:r>
              <w:rPr>
                <w:rFonts w:ascii="宋体" w:hAnsi="宋体"/>
                <w:sz w:val="20"/>
                <w:szCs w:val="20"/>
                <w:highlight w:val="none"/>
              </w:rPr>
              <w:t>-24</w:t>
            </w:r>
            <w:r>
              <w:rPr>
                <w:rFonts w:hint="eastAsia" w:ascii="宋体" w:hAnsi="宋体"/>
                <w:sz w:val="20"/>
                <w:szCs w:val="20"/>
                <w:highlight w:val="none"/>
              </w:rPr>
              <w:t>V，有电源防接反功能和过压保护功能。</w:t>
            </w:r>
          </w:p>
          <w:p>
            <w:pPr>
              <w:rPr>
                <w:rFonts w:ascii="宋体" w:hAnsi="宋体"/>
                <w:sz w:val="20"/>
                <w:szCs w:val="20"/>
                <w:highlight w:val="none"/>
              </w:rPr>
            </w:pPr>
            <w:r>
              <w:rPr>
                <w:rFonts w:hint="eastAsia" w:ascii="宋体" w:hAnsi="宋体"/>
                <w:sz w:val="20"/>
                <w:szCs w:val="20"/>
                <w:highlight w:val="none"/>
              </w:rPr>
              <w:t>5、通信接口采用标准串口（RS485），通信协议采用MODBUS协议。支持更改设备编号，波特率支持9600。</w:t>
            </w:r>
          </w:p>
          <w:p>
            <w:pPr>
              <w:rPr>
                <w:rFonts w:ascii="宋体" w:hAnsi="宋体"/>
                <w:sz w:val="20"/>
                <w:szCs w:val="20"/>
                <w:highlight w:val="none"/>
              </w:rPr>
            </w:pPr>
            <w:r>
              <w:rPr>
                <w:rFonts w:hint="eastAsia" w:ascii="宋体" w:hAnsi="宋体"/>
                <w:sz w:val="20"/>
                <w:szCs w:val="20"/>
                <w:highlight w:val="none"/>
              </w:rPr>
              <w:t>6、支持标准35mm导轨安装</w:t>
            </w:r>
          </w:p>
        </w:tc>
        <w:tc>
          <w:tcPr>
            <w:tcW w:w="536" w:type="dxa"/>
            <w:vMerge w:val="continue"/>
            <w:tcBorders>
              <w:left w:val="nil"/>
              <w:right w:val="single" w:color="auto" w:sz="4" w:space="0"/>
            </w:tcBorders>
            <w:shd w:val="clear" w:color="auto" w:fill="FFFFFF"/>
            <w:vAlign w:val="center"/>
          </w:tcPr>
          <w:p>
            <w:pPr>
              <w:jc w:val="center"/>
              <w:rPr>
                <w:rFonts w:ascii="宋体" w:hAnsi="宋体"/>
                <w:sz w:val="20"/>
                <w:szCs w:val="20"/>
                <w:highlight w:val="none"/>
              </w:rPr>
            </w:pPr>
          </w:p>
        </w:tc>
        <w:tc>
          <w:tcPr>
            <w:tcW w:w="633" w:type="dxa"/>
            <w:vMerge w:val="continue"/>
            <w:tcBorders>
              <w:left w:val="nil"/>
              <w:right w:val="single" w:color="auto" w:sz="4" w:space="0"/>
            </w:tcBorders>
            <w:shd w:val="clear" w:color="auto" w:fill="FFFFFF"/>
            <w:vAlign w:val="center"/>
          </w:tcPr>
          <w:p>
            <w:pPr>
              <w:jc w:val="center"/>
              <w:rPr>
                <w:rFonts w:ascii="宋体" w:hAnsi="宋体"/>
                <w:sz w:val="20"/>
                <w:szCs w:val="20"/>
                <w:highlight w:val="none"/>
              </w:rPr>
            </w:pPr>
          </w:p>
        </w:tc>
      </w:tr>
      <w:tr>
        <w:tblPrEx>
          <w:tblCellMar>
            <w:top w:w="0" w:type="dxa"/>
            <w:left w:w="108" w:type="dxa"/>
            <w:bottom w:w="0" w:type="dxa"/>
            <w:right w:w="108" w:type="dxa"/>
          </w:tblCellMar>
        </w:tblPrEx>
        <w:trPr>
          <w:trHeight w:val="1512" w:hRule="atLeast"/>
        </w:trPr>
        <w:tc>
          <w:tcPr>
            <w:tcW w:w="536" w:type="dxa"/>
            <w:vMerge w:val="continue"/>
            <w:tcBorders>
              <w:left w:val="single" w:color="auto" w:sz="4" w:space="0"/>
              <w:right w:val="single" w:color="auto" w:sz="4" w:space="0"/>
            </w:tcBorders>
            <w:shd w:val="clear" w:color="auto" w:fill="FFFFFF"/>
            <w:vAlign w:val="center"/>
          </w:tcPr>
          <w:p>
            <w:pPr>
              <w:jc w:val="center"/>
              <w:rPr>
                <w:rFonts w:ascii="宋体" w:hAnsi="宋体"/>
                <w:sz w:val="20"/>
                <w:szCs w:val="20"/>
                <w:highlight w:val="none"/>
              </w:rPr>
            </w:pPr>
          </w:p>
        </w:tc>
        <w:tc>
          <w:tcPr>
            <w:tcW w:w="1076" w:type="dxa"/>
            <w:vMerge w:val="continue"/>
            <w:tcBorders>
              <w:left w:val="nil"/>
              <w:right w:val="single" w:color="auto" w:sz="4" w:space="0"/>
            </w:tcBorders>
            <w:shd w:val="clear" w:color="auto" w:fill="FFFFFF"/>
            <w:vAlign w:val="center"/>
          </w:tcPr>
          <w:p>
            <w:pPr>
              <w:jc w:val="center"/>
              <w:rPr>
                <w:rFonts w:ascii="Tahoma" w:hAnsi="Tahoma" w:cs="Tahoma"/>
                <w:sz w:val="18"/>
                <w:szCs w:val="18"/>
                <w:highlight w:val="none"/>
              </w:rPr>
            </w:pPr>
          </w:p>
        </w:tc>
        <w:tc>
          <w:tcPr>
            <w:tcW w:w="6209" w:type="dxa"/>
            <w:tcBorders>
              <w:top w:val="nil"/>
              <w:left w:val="nil"/>
              <w:bottom w:val="single" w:color="auto" w:sz="4" w:space="0"/>
              <w:right w:val="single" w:color="auto" w:sz="4" w:space="0"/>
            </w:tcBorders>
            <w:shd w:val="clear" w:color="auto" w:fill="FFFFFF"/>
            <w:vAlign w:val="center"/>
          </w:tcPr>
          <w:p>
            <w:pPr>
              <w:rPr>
                <w:rFonts w:ascii="宋体" w:hAnsi="宋体"/>
                <w:sz w:val="20"/>
                <w:szCs w:val="20"/>
                <w:highlight w:val="none"/>
              </w:rPr>
            </w:pPr>
            <w:r>
              <w:rPr>
                <w:rFonts w:hint="eastAsia" w:ascii="宋体" w:hAnsi="宋体"/>
                <w:sz w:val="20"/>
                <w:szCs w:val="20"/>
                <w:highlight w:val="none"/>
              </w:rPr>
              <w:t>RS485隔离型集线器技术要求：</w:t>
            </w:r>
          </w:p>
          <w:p>
            <w:pPr>
              <w:rPr>
                <w:rFonts w:ascii="宋体" w:hAnsi="宋体"/>
                <w:sz w:val="20"/>
                <w:szCs w:val="20"/>
                <w:highlight w:val="none"/>
              </w:rPr>
            </w:pPr>
            <w:r>
              <w:rPr>
                <w:rFonts w:hint="eastAsia" w:ascii="宋体" w:hAnsi="宋体"/>
                <w:sz w:val="20"/>
                <w:szCs w:val="20"/>
                <w:highlight w:val="none"/>
              </w:rPr>
              <w:t>双向通讯1路转8路RS485隔离型集线器</w:t>
            </w:r>
          </w:p>
          <w:p>
            <w:pPr>
              <w:rPr>
                <w:rFonts w:ascii="宋体" w:hAnsi="宋体"/>
                <w:sz w:val="20"/>
                <w:szCs w:val="20"/>
                <w:highlight w:val="none"/>
              </w:rPr>
            </w:pPr>
            <w:r>
              <w:rPr>
                <w:rFonts w:hint="eastAsia" w:ascii="宋体" w:hAnsi="宋体"/>
                <w:sz w:val="20"/>
                <w:szCs w:val="20"/>
                <w:highlight w:val="none"/>
              </w:rPr>
              <w:t>1、RS485工业级隔离型1分8集线器</w:t>
            </w:r>
          </w:p>
          <w:p>
            <w:pPr>
              <w:rPr>
                <w:rFonts w:ascii="宋体" w:hAnsi="宋体"/>
                <w:sz w:val="20"/>
                <w:szCs w:val="20"/>
                <w:highlight w:val="none"/>
              </w:rPr>
            </w:pPr>
            <w:r>
              <w:rPr>
                <w:rFonts w:hint="eastAsia" w:ascii="宋体" w:hAnsi="宋体"/>
                <w:sz w:val="20"/>
                <w:szCs w:val="20"/>
                <w:highlight w:val="none"/>
              </w:rPr>
              <w:t>2、硬件支持支持双向通讯，即插即用无需安装驱动及软件</w:t>
            </w:r>
          </w:p>
          <w:p>
            <w:pPr>
              <w:rPr>
                <w:rFonts w:ascii="宋体" w:hAnsi="宋体"/>
                <w:sz w:val="20"/>
                <w:szCs w:val="20"/>
                <w:highlight w:val="none"/>
              </w:rPr>
            </w:pPr>
            <w:r>
              <w:rPr>
                <w:rFonts w:hint="eastAsia" w:ascii="宋体" w:hAnsi="宋体"/>
                <w:sz w:val="20"/>
                <w:szCs w:val="20"/>
                <w:highlight w:val="none"/>
              </w:rPr>
              <w:t>3、传输距离至少1000米</w:t>
            </w:r>
          </w:p>
          <w:p>
            <w:pPr>
              <w:rPr>
                <w:rFonts w:ascii="宋体" w:hAnsi="宋体"/>
                <w:sz w:val="20"/>
                <w:szCs w:val="20"/>
                <w:highlight w:val="none"/>
              </w:rPr>
            </w:pPr>
            <w:r>
              <w:rPr>
                <w:rFonts w:hint="eastAsia" w:ascii="宋体" w:hAnsi="宋体"/>
                <w:sz w:val="20"/>
                <w:szCs w:val="20"/>
                <w:highlight w:val="none"/>
              </w:rPr>
              <w:t>4、每路最大支持128个设备</w:t>
            </w:r>
          </w:p>
          <w:p>
            <w:pPr>
              <w:rPr>
                <w:rFonts w:ascii="宋体" w:hAnsi="宋体"/>
                <w:sz w:val="20"/>
                <w:szCs w:val="20"/>
                <w:highlight w:val="none"/>
              </w:rPr>
            </w:pPr>
            <w:r>
              <w:rPr>
                <w:rFonts w:hint="eastAsia" w:ascii="宋体" w:hAnsi="宋体"/>
                <w:sz w:val="20"/>
                <w:szCs w:val="20"/>
                <w:highlight w:val="none"/>
              </w:rPr>
              <w:t>5、隔离通讯抗干扰，支持152.2KBPS高波特率</w:t>
            </w:r>
          </w:p>
          <w:p>
            <w:pPr>
              <w:rPr>
                <w:rFonts w:ascii="宋体" w:hAnsi="宋体"/>
                <w:sz w:val="20"/>
                <w:szCs w:val="20"/>
                <w:highlight w:val="none"/>
              </w:rPr>
            </w:pPr>
            <w:r>
              <w:rPr>
                <w:rFonts w:hint="eastAsia" w:ascii="宋体" w:hAnsi="宋体"/>
                <w:sz w:val="20"/>
                <w:szCs w:val="20"/>
                <w:highlight w:val="none"/>
              </w:rPr>
              <w:t>6、工作电源：DC12-24v</w:t>
            </w:r>
          </w:p>
          <w:p>
            <w:pPr>
              <w:rPr>
                <w:highlight w:val="none"/>
              </w:rPr>
            </w:pPr>
            <w:r>
              <w:rPr>
                <w:rFonts w:hint="eastAsia" w:ascii="宋体" w:hAnsi="宋体"/>
                <w:sz w:val="20"/>
                <w:szCs w:val="20"/>
                <w:highlight w:val="none"/>
              </w:rPr>
              <w:t>7、支持标准35mm导轨安装；</w:t>
            </w:r>
          </w:p>
        </w:tc>
        <w:tc>
          <w:tcPr>
            <w:tcW w:w="536" w:type="dxa"/>
            <w:vMerge w:val="continue"/>
            <w:tcBorders>
              <w:left w:val="nil"/>
              <w:right w:val="single" w:color="auto" w:sz="4" w:space="0"/>
            </w:tcBorders>
            <w:shd w:val="clear" w:color="auto" w:fill="FFFFFF"/>
            <w:vAlign w:val="center"/>
          </w:tcPr>
          <w:p>
            <w:pPr>
              <w:jc w:val="center"/>
              <w:rPr>
                <w:rFonts w:ascii="宋体" w:hAnsi="宋体"/>
                <w:sz w:val="20"/>
                <w:szCs w:val="20"/>
                <w:highlight w:val="none"/>
              </w:rPr>
            </w:pPr>
          </w:p>
        </w:tc>
        <w:tc>
          <w:tcPr>
            <w:tcW w:w="633" w:type="dxa"/>
            <w:vMerge w:val="continue"/>
            <w:tcBorders>
              <w:left w:val="nil"/>
              <w:right w:val="single" w:color="auto" w:sz="4" w:space="0"/>
            </w:tcBorders>
            <w:shd w:val="clear" w:color="auto" w:fill="FFFFFF"/>
            <w:vAlign w:val="center"/>
          </w:tcPr>
          <w:p>
            <w:pPr>
              <w:jc w:val="center"/>
              <w:rPr>
                <w:rFonts w:ascii="宋体" w:hAnsi="宋体"/>
                <w:sz w:val="20"/>
                <w:szCs w:val="20"/>
                <w:highlight w:val="none"/>
              </w:rPr>
            </w:pPr>
          </w:p>
        </w:tc>
      </w:tr>
      <w:tr>
        <w:tblPrEx>
          <w:tblCellMar>
            <w:top w:w="0" w:type="dxa"/>
            <w:left w:w="108" w:type="dxa"/>
            <w:bottom w:w="0" w:type="dxa"/>
            <w:right w:w="108" w:type="dxa"/>
          </w:tblCellMar>
        </w:tblPrEx>
        <w:trPr>
          <w:trHeight w:val="1512" w:hRule="atLeast"/>
        </w:trPr>
        <w:tc>
          <w:tcPr>
            <w:tcW w:w="536" w:type="dxa"/>
            <w:vMerge w:val="continue"/>
            <w:tcBorders>
              <w:left w:val="single" w:color="auto" w:sz="4" w:space="0"/>
              <w:right w:val="single" w:color="auto" w:sz="4" w:space="0"/>
            </w:tcBorders>
            <w:shd w:val="clear" w:color="auto" w:fill="FFFFFF"/>
            <w:vAlign w:val="center"/>
          </w:tcPr>
          <w:p>
            <w:pPr>
              <w:jc w:val="center"/>
              <w:rPr>
                <w:rFonts w:ascii="宋体" w:hAnsi="宋体"/>
                <w:sz w:val="20"/>
                <w:szCs w:val="20"/>
                <w:highlight w:val="none"/>
              </w:rPr>
            </w:pPr>
          </w:p>
        </w:tc>
        <w:tc>
          <w:tcPr>
            <w:tcW w:w="1076" w:type="dxa"/>
            <w:vMerge w:val="continue"/>
            <w:tcBorders>
              <w:left w:val="nil"/>
              <w:right w:val="single" w:color="auto" w:sz="4" w:space="0"/>
            </w:tcBorders>
            <w:shd w:val="clear" w:color="auto" w:fill="FFFFFF"/>
            <w:vAlign w:val="center"/>
          </w:tcPr>
          <w:p>
            <w:pPr>
              <w:jc w:val="center"/>
              <w:rPr>
                <w:rFonts w:ascii="宋体" w:hAnsi="宋体"/>
                <w:sz w:val="20"/>
                <w:szCs w:val="20"/>
                <w:highlight w:val="none"/>
              </w:rPr>
            </w:pPr>
          </w:p>
        </w:tc>
        <w:tc>
          <w:tcPr>
            <w:tcW w:w="6209" w:type="dxa"/>
            <w:tcBorders>
              <w:top w:val="nil"/>
              <w:left w:val="nil"/>
              <w:bottom w:val="single" w:color="auto" w:sz="4" w:space="0"/>
              <w:right w:val="single" w:color="auto" w:sz="4" w:space="0"/>
            </w:tcBorders>
            <w:shd w:val="clear" w:color="auto" w:fill="FFFFFF"/>
            <w:vAlign w:val="center"/>
          </w:tcPr>
          <w:p>
            <w:pPr>
              <w:rPr>
                <w:rFonts w:ascii="宋体" w:hAnsi="宋体"/>
                <w:sz w:val="20"/>
                <w:szCs w:val="20"/>
                <w:highlight w:val="none"/>
              </w:rPr>
            </w:pPr>
            <w:r>
              <w:rPr>
                <w:rFonts w:hint="eastAsia" w:ascii="宋体" w:hAnsi="宋体"/>
                <w:sz w:val="20"/>
                <w:szCs w:val="20"/>
                <w:highlight w:val="none"/>
              </w:rPr>
              <w:t>RS485单相轨道式电表技术要求：</w:t>
            </w:r>
          </w:p>
          <w:p>
            <w:pPr>
              <w:rPr>
                <w:rFonts w:ascii="宋体" w:hAnsi="宋体"/>
                <w:sz w:val="20"/>
                <w:szCs w:val="20"/>
                <w:highlight w:val="none"/>
              </w:rPr>
            </w:pPr>
            <w:r>
              <w:rPr>
                <w:rFonts w:hint="eastAsia" w:ascii="宋体" w:hAnsi="宋体"/>
                <w:sz w:val="20"/>
                <w:szCs w:val="20"/>
                <w:highlight w:val="none"/>
              </w:rPr>
              <w:t>1、交流电压220V，电流5-80A</w:t>
            </w:r>
          </w:p>
          <w:p>
            <w:pPr>
              <w:rPr>
                <w:rFonts w:ascii="宋体" w:hAnsi="宋体"/>
                <w:sz w:val="20"/>
                <w:szCs w:val="20"/>
                <w:highlight w:val="none"/>
              </w:rPr>
            </w:pPr>
            <w:r>
              <w:rPr>
                <w:rFonts w:hint="eastAsia" w:ascii="宋体" w:hAnsi="宋体"/>
                <w:sz w:val="20"/>
                <w:szCs w:val="20"/>
                <w:highlight w:val="none"/>
              </w:rPr>
              <w:t>2、集电压、电流、功率、频率、功率因素、有功电能等电参量于一体，具有LCD屏显示，方便实时查看</w:t>
            </w:r>
          </w:p>
          <w:p>
            <w:pPr>
              <w:rPr>
                <w:rFonts w:ascii="宋体" w:hAnsi="宋体"/>
                <w:sz w:val="20"/>
                <w:szCs w:val="20"/>
                <w:highlight w:val="none"/>
              </w:rPr>
            </w:pPr>
            <w:r>
              <w:rPr>
                <w:rFonts w:hint="eastAsia" w:ascii="宋体" w:hAnsi="宋体"/>
                <w:sz w:val="20"/>
                <w:szCs w:val="20"/>
                <w:highlight w:val="none"/>
              </w:rPr>
              <w:t>3、通信接口采用标准串口（RS485），通信协议采用MODBUS协议，支持更改设备编号，波特率支持9600。</w:t>
            </w:r>
          </w:p>
          <w:p>
            <w:pPr>
              <w:rPr>
                <w:rFonts w:ascii="宋体" w:hAnsi="宋体"/>
                <w:sz w:val="20"/>
                <w:szCs w:val="20"/>
                <w:highlight w:val="none"/>
              </w:rPr>
            </w:pPr>
            <w:r>
              <w:rPr>
                <w:rFonts w:hint="eastAsia" w:ascii="宋体" w:hAnsi="宋体"/>
                <w:sz w:val="20"/>
                <w:szCs w:val="20"/>
                <w:highlight w:val="none"/>
              </w:rPr>
              <w:t>4、支持标准35mm导轨安装</w:t>
            </w:r>
          </w:p>
          <w:p>
            <w:pPr>
              <w:pStyle w:val="2"/>
              <w:spacing w:before="0" w:after="0" w:line="240" w:lineRule="auto"/>
              <w:rPr>
                <w:highlight w:val="none"/>
              </w:rPr>
            </w:pPr>
            <w:r>
              <w:rPr>
                <w:rFonts w:hint="eastAsia" w:ascii="宋体" w:hAnsi="宋体" w:eastAsia="宋体"/>
                <w:b w:val="0"/>
                <w:kern w:val="2"/>
                <w:sz w:val="20"/>
                <w:highlight w:val="none"/>
              </w:rPr>
              <w:t>5、配置标准35mm导轨安装2P80A空开</w:t>
            </w:r>
          </w:p>
        </w:tc>
        <w:tc>
          <w:tcPr>
            <w:tcW w:w="536" w:type="dxa"/>
            <w:vMerge w:val="continue"/>
            <w:tcBorders>
              <w:left w:val="nil"/>
              <w:right w:val="single" w:color="auto" w:sz="4" w:space="0"/>
            </w:tcBorders>
            <w:shd w:val="clear" w:color="auto" w:fill="FFFFFF"/>
            <w:vAlign w:val="center"/>
          </w:tcPr>
          <w:p>
            <w:pPr>
              <w:jc w:val="center"/>
              <w:rPr>
                <w:rFonts w:ascii="宋体" w:hAnsi="宋体"/>
                <w:sz w:val="20"/>
                <w:szCs w:val="20"/>
                <w:highlight w:val="none"/>
              </w:rPr>
            </w:pPr>
          </w:p>
        </w:tc>
        <w:tc>
          <w:tcPr>
            <w:tcW w:w="633" w:type="dxa"/>
            <w:vMerge w:val="continue"/>
            <w:tcBorders>
              <w:left w:val="nil"/>
              <w:right w:val="single" w:color="auto" w:sz="4" w:space="0"/>
            </w:tcBorders>
            <w:shd w:val="clear" w:color="auto" w:fill="FFFFFF"/>
            <w:vAlign w:val="center"/>
          </w:tcPr>
          <w:p>
            <w:pPr>
              <w:jc w:val="center"/>
              <w:rPr>
                <w:rFonts w:ascii="宋体" w:hAnsi="宋体"/>
                <w:sz w:val="20"/>
                <w:szCs w:val="20"/>
                <w:highlight w:val="none"/>
              </w:rPr>
            </w:pPr>
          </w:p>
        </w:tc>
      </w:tr>
      <w:tr>
        <w:tblPrEx>
          <w:tblCellMar>
            <w:top w:w="0" w:type="dxa"/>
            <w:left w:w="108" w:type="dxa"/>
            <w:bottom w:w="0" w:type="dxa"/>
            <w:right w:w="108" w:type="dxa"/>
          </w:tblCellMar>
        </w:tblPrEx>
        <w:trPr>
          <w:trHeight w:val="1512" w:hRule="atLeast"/>
        </w:trPr>
        <w:tc>
          <w:tcPr>
            <w:tcW w:w="536" w:type="dxa"/>
            <w:vMerge w:val="continue"/>
            <w:tcBorders>
              <w:left w:val="single" w:color="auto" w:sz="4" w:space="0"/>
              <w:right w:val="single" w:color="auto" w:sz="4" w:space="0"/>
            </w:tcBorders>
            <w:shd w:val="clear" w:color="auto" w:fill="FFFFFF"/>
            <w:vAlign w:val="center"/>
          </w:tcPr>
          <w:p>
            <w:pPr>
              <w:jc w:val="center"/>
              <w:rPr>
                <w:rFonts w:ascii="宋体" w:hAnsi="宋体"/>
                <w:sz w:val="20"/>
                <w:szCs w:val="20"/>
                <w:highlight w:val="none"/>
              </w:rPr>
            </w:pPr>
          </w:p>
        </w:tc>
        <w:tc>
          <w:tcPr>
            <w:tcW w:w="1076" w:type="dxa"/>
            <w:vMerge w:val="continue"/>
            <w:tcBorders>
              <w:left w:val="nil"/>
              <w:right w:val="single" w:color="auto" w:sz="4" w:space="0"/>
            </w:tcBorders>
            <w:shd w:val="clear" w:color="auto" w:fill="FFFFFF"/>
            <w:vAlign w:val="center"/>
          </w:tcPr>
          <w:p>
            <w:pPr>
              <w:jc w:val="center"/>
              <w:rPr>
                <w:rFonts w:ascii="宋体" w:hAnsi="宋体"/>
                <w:sz w:val="20"/>
                <w:szCs w:val="20"/>
                <w:highlight w:val="none"/>
              </w:rPr>
            </w:pPr>
          </w:p>
        </w:tc>
        <w:tc>
          <w:tcPr>
            <w:tcW w:w="6209" w:type="dxa"/>
            <w:tcBorders>
              <w:top w:val="nil"/>
              <w:left w:val="nil"/>
              <w:bottom w:val="single" w:color="auto" w:sz="4" w:space="0"/>
              <w:right w:val="single" w:color="auto" w:sz="4" w:space="0"/>
            </w:tcBorders>
            <w:shd w:val="clear" w:color="auto" w:fill="FFFFFF"/>
            <w:vAlign w:val="center"/>
          </w:tcPr>
          <w:p>
            <w:pPr>
              <w:rPr>
                <w:rFonts w:ascii="宋体" w:hAnsi="宋体"/>
                <w:sz w:val="20"/>
                <w:szCs w:val="20"/>
                <w:highlight w:val="none"/>
              </w:rPr>
            </w:pPr>
            <w:r>
              <w:rPr>
                <w:rFonts w:hint="eastAsia" w:ascii="宋体" w:hAnsi="宋体"/>
                <w:sz w:val="20"/>
                <w:szCs w:val="20"/>
                <w:highlight w:val="none"/>
              </w:rPr>
              <w:t>RS485三相四线轨道式电表技术要求：</w:t>
            </w:r>
          </w:p>
          <w:p>
            <w:pPr>
              <w:rPr>
                <w:rFonts w:ascii="宋体" w:hAnsi="宋体"/>
                <w:sz w:val="20"/>
                <w:szCs w:val="20"/>
                <w:highlight w:val="none"/>
              </w:rPr>
            </w:pPr>
            <w:r>
              <w:rPr>
                <w:rFonts w:hint="eastAsia" w:ascii="宋体" w:hAnsi="宋体"/>
                <w:sz w:val="20"/>
                <w:szCs w:val="20"/>
                <w:highlight w:val="none"/>
              </w:rPr>
              <w:t>1、交流电压380V，电流5-100A</w:t>
            </w:r>
          </w:p>
          <w:p>
            <w:pPr>
              <w:rPr>
                <w:rFonts w:ascii="宋体" w:hAnsi="宋体"/>
                <w:sz w:val="20"/>
                <w:szCs w:val="20"/>
                <w:highlight w:val="none"/>
              </w:rPr>
            </w:pPr>
            <w:r>
              <w:rPr>
                <w:rFonts w:hint="eastAsia" w:ascii="宋体" w:hAnsi="宋体"/>
                <w:sz w:val="20"/>
                <w:szCs w:val="20"/>
                <w:highlight w:val="none"/>
              </w:rPr>
              <w:t>2、集电压、电流、功率、频率、功率因素、有功电能等电参量于一体，具有LCD屏显示，方便实时查看</w:t>
            </w:r>
          </w:p>
          <w:p>
            <w:pPr>
              <w:rPr>
                <w:rFonts w:ascii="宋体" w:hAnsi="宋体"/>
                <w:sz w:val="20"/>
                <w:szCs w:val="20"/>
                <w:highlight w:val="none"/>
              </w:rPr>
            </w:pPr>
            <w:r>
              <w:rPr>
                <w:rFonts w:hint="eastAsia" w:ascii="宋体" w:hAnsi="宋体"/>
                <w:sz w:val="20"/>
                <w:szCs w:val="20"/>
                <w:highlight w:val="none"/>
              </w:rPr>
              <w:t>3、通信接口采用标准串口（RS485），通信协议采用MODBUS协议，支持更改设备编号，波特率支持9600。</w:t>
            </w:r>
          </w:p>
          <w:p>
            <w:pPr>
              <w:rPr>
                <w:rFonts w:ascii="宋体" w:hAnsi="宋体"/>
                <w:sz w:val="20"/>
                <w:szCs w:val="20"/>
                <w:highlight w:val="none"/>
              </w:rPr>
            </w:pPr>
            <w:r>
              <w:rPr>
                <w:rFonts w:hint="eastAsia" w:ascii="宋体" w:hAnsi="宋体"/>
                <w:sz w:val="20"/>
                <w:szCs w:val="20"/>
                <w:highlight w:val="none"/>
              </w:rPr>
              <w:t>4、支持标准35mm导轨安装</w:t>
            </w:r>
          </w:p>
          <w:p>
            <w:pPr>
              <w:pStyle w:val="2"/>
              <w:spacing w:before="0" w:after="0" w:line="240" w:lineRule="auto"/>
              <w:rPr>
                <w:rFonts w:ascii="宋体" w:hAnsi="宋体" w:eastAsia="宋体"/>
                <w:b w:val="0"/>
                <w:kern w:val="2"/>
                <w:sz w:val="20"/>
                <w:highlight w:val="none"/>
              </w:rPr>
            </w:pPr>
            <w:r>
              <w:rPr>
                <w:rFonts w:hint="eastAsia" w:ascii="宋体" w:hAnsi="宋体" w:eastAsia="宋体"/>
                <w:b w:val="0"/>
                <w:kern w:val="2"/>
                <w:sz w:val="20"/>
                <w:highlight w:val="none"/>
              </w:rPr>
              <w:t>5、配置标准35mm导轨安装4P100A空开</w:t>
            </w:r>
          </w:p>
        </w:tc>
        <w:tc>
          <w:tcPr>
            <w:tcW w:w="536" w:type="dxa"/>
            <w:vMerge w:val="continue"/>
            <w:tcBorders>
              <w:left w:val="nil"/>
              <w:right w:val="single" w:color="auto" w:sz="4" w:space="0"/>
            </w:tcBorders>
            <w:shd w:val="clear" w:color="auto" w:fill="FFFFFF"/>
            <w:vAlign w:val="center"/>
          </w:tcPr>
          <w:p>
            <w:pPr>
              <w:jc w:val="center"/>
              <w:rPr>
                <w:rFonts w:ascii="宋体" w:hAnsi="宋体"/>
                <w:sz w:val="20"/>
                <w:szCs w:val="20"/>
                <w:highlight w:val="none"/>
              </w:rPr>
            </w:pPr>
          </w:p>
        </w:tc>
        <w:tc>
          <w:tcPr>
            <w:tcW w:w="633" w:type="dxa"/>
            <w:vMerge w:val="continue"/>
            <w:tcBorders>
              <w:left w:val="nil"/>
              <w:right w:val="single" w:color="auto" w:sz="4" w:space="0"/>
            </w:tcBorders>
            <w:shd w:val="clear" w:color="auto" w:fill="FFFFFF"/>
            <w:vAlign w:val="center"/>
          </w:tcPr>
          <w:p>
            <w:pPr>
              <w:jc w:val="center"/>
              <w:rPr>
                <w:rFonts w:ascii="宋体" w:hAnsi="宋体"/>
                <w:sz w:val="20"/>
                <w:szCs w:val="20"/>
                <w:highlight w:val="none"/>
              </w:rPr>
            </w:pPr>
          </w:p>
        </w:tc>
      </w:tr>
      <w:tr>
        <w:tblPrEx>
          <w:tblCellMar>
            <w:top w:w="0" w:type="dxa"/>
            <w:left w:w="108" w:type="dxa"/>
            <w:bottom w:w="0" w:type="dxa"/>
            <w:right w:w="108" w:type="dxa"/>
          </w:tblCellMar>
        </w:tblPrEx>
        <w:trPr>
          <w:trHeight w:val="1151" w:hRule="atLeast"/>
        </w:trPr>
        <w:tc>
          <w:tcPr>
            <w:tcW w:w="536" w:type="dxa"/>
            <w:vMerge w:val="continue"/>
            <w:tcBorders>
              <w:left w:val="single" w:color="auto" w:sz="4" w:space="0"/>
              <w:right w:val="single" w:color="auto" w:sz="4" w:space="0"/>
            </w:tcBorders>
            <w:shd w:val="clear" w:color="auto" w:fill="FFFFFF"/>
            <w:vAlign w:val="center"/>
          </w:tcPr>
          <w:p>
            <w:pPr>
              <w:jc w:val="center"/>
              <w:rPr>
                <w:rFonts w:ascii="宋体" w:hAnsi="宋体"/>
                <w:sz w:val="20"/>
                <w:szCs w:val="20"/>
                <w:highlight w:val="none"/>
              </w:rPr>
            </w:pPr>
          </w:p>
        </w:tc>
        <w:tc>
          <w:tcPr>
            <w:tcW w:w="1076" w:type="dxa"/>
            <w:vMerge w:val="continue"/>
            <w:tcBorders>
              <w:left w:val="nil"/>
              <w:right w:val="single" w:color="auto" w:sz="4" w:space="0"/>
            </w:tcBorders>
            <w:shd w:val="clear" w:color="auto" w:fill="FFFFFF"/>
            <w:vAlign w:val="center"/>
          </w:tcPr>
          <w:p>
            <w:pPr>
              <w:pStyle w:val="2"/>
              <w:spacing w:before="0" w:after="0" w:line="240" w:lineRule="auto"/>
              <w:rPr>
                <w:rFonts w:ascii="宋体" w:hAnsi="宋体" w:eastAsia="宋体"/>
                <w:b w:val="0"/>
                <w:kern w:val="2"/>
                <w:sz w:val="20"/>
                <w:highlight w:val="none"/>
              </w:rPr>
            </w:pPr>
          </w:p>
        </w:tc>
        <w:tc>
          <w:tcPr>
            <w:tcW w:w="6209" w:type="dxa"/>
            <w:tcBorders>
              <w:top w:val="nil"/>
              <w:left w:val="nil"/>
              <w:bottom w:val="single" w:color="auto" w:sz="4" w:space="0"/>
              <w:right w:val="single" w:color="auto" w:sz="4" w:space="0"/>
            </w:tcBorders>
            <w:shd w:val="clear" w:color="auto" w:fill="FFFFFF"/>
            <w:vAlign w:val="center"/>
          </w:tcPr>
          <w:p>
            <w:pPr>
              <w:rPr>
                <w:rFonts w:ascii="宋体" w:hAnsi="宋体"/>
                <w:sz w:val="20"/>
                <w:szCs w:val="20"/>
                <w:highlight w:val="none"/>
              </w:rPr>
            </w:pPr>
            <w:r>
              <w:rPr>
                <w:rFonts w:hint="eastAsia" w:ascii="宋体" w:hAnsi="宋体"/>
                <w:sz w:val="20"/>
                <w:highlight w:val="none"/>
              </w:rPr>
              <w:t>RS485计量智能2P空气开关技术要求：</w:t>
            </w:r>
          </w:p>
          <w:p>
            <w:pPr>
              <w:rPr>
                <w:rFonts w:ascii="宋体" w:hAnsi="宋体"/>
                <w:sz w:val="20"/>
                <w:szCs w:val="20"/>
                <w:highlight w:val="none"/>
              </w:rPr>
            </w:pPr>
            <w:r>
              <w:rPr>
                <w:rFonts w:hint="eastAsia" w:ascii="宋体" w:hAnsi="宋体"/>
                <w:sz w:val="20"/>
                <w:szCs w:val="20"/>
                <w:highlight w:val="none"/>
              </w:rPr>
              <w:t xml:space="preserve">智能空气开关具有传统断路器过载和短路保护功能外,还有远程控制、电量统计、来电状态、过欠压设定、RS485 通讯等功能； </w:t>
            </w:r>
          </w:p>
          <w:p>
            <w:pPr>
              <w:pStyle w:val="2"/>
              <w:spacing w:before="0" w:after="0" w:line="240" w:lineRule="auto"/>
              <w:rPr>
                <w:rFonts w:ascii="宋体" w:hAnsi="宋体" w:eastAsia="宋体"/>
                <w:b w:val="0"/>
                <w:kern w:val="2"/>
                <w:sz w:val="20"/>
                <w:highlight w:val="none"/>
              </w:rPr>
            </w:pPr>
            <w:r>
              <w:rPr>
                <w:rFonts w:hint="eastAsia" w:ascii="宋体" w:hAnsi="宋体" w:eastAsia="宋体"/>
                <w:b w:val="0"/>
                <w:kern w:val="2"/>
                <w:sz w:val="20"/>
                <w:highlight w:val="none"/>
              </w:rPr>
              <w:t>1、具有自动保护、过载保护、欠压保护、自动开关机功能</w:t>
            </w:r>
          </w:p>
          <w:p>
            <w:pPr>
              <w:rPr>
                <w:rFonts w:ascii="宋体" w:hAnsi="宋体"/>
                <w:sz w:val="20"/>
                <w:szCs w:val="20"/>
                <w:highlight w:val="none"/>
              </w:rPr>
            </w:pPr>
            <w:r>
              <w:rPr>
                <w:rFonts w:hint="eastAsia" w:ascii="宋体" w:hAnsi="宋体"/>
                <w:sz w:val="20"/>
                <w:szCs w:val="20"/>
                <w:highlight w:val="none"/>
              </w:rPr>
              <w:t>2、通信接口采用标准串口（RS485），通信协议采用MODBUS协议，支持更改设备编号，波特率支持9600。</w:t>
            </w:r>
          </w:p>
          <w:p>
            <w:pPr>
              <w:pStyle w:val="2"/>
              <w:spacing w:before="0" w:after="0" w:line="240" w:lineRule="auto"/>
              <w:rPr>
                <w:rFonts w:ascii="宋体" w:hAnsi="宋体" w:eastAsia="宋体"/>
                <w:b w:val="0"/>
                <w:kern w:val="2"/>
                <w:sz w:val="20"/>
                <w:highlight w:val="none"/>
              </w:rPr>
            </w:pPr>
            <w:r>
              <w:rPr>
                <w:rFonts w:hint="eastAsia" w:ascii="宋体" w:hAnsi="宋体" w:eastAsia="宋体"/>
                <w:b w:val="0"/>
                <w:kern w:val="2"/>
                <w:sz w:val="20"/>
                <w:highlight w:val="none"/>
              </w:rPr>
              <w:t>3、通过ModBus-RTU协议指令实现设备控制，可读取电压、电流、有功功率、无功功率、温度、漏电值等参数，实现远程控制电量统计</w:t>
            </w:r>
          </w:p>
          <w:p>
            <w:pPr>
              <w:pStyle w:val="2"/>
              <w:spacing w:before="0" w:after="0" w:line="240" w:lineRule="auto"/>
              <w:rPr>
                <w:rFonts w:ascii="宋体" w:hAnsi="宋体" w:eastAsia="宋体"/>
                <w:b w:val="0"/>
                <w:kern w:val="2"/>
                <w:sz w:val="20"/>
                <w:highlight w:val="none"/>
              </w:rPr>
            </w:pPr>
            <w:r>
              <w:rPr>
                <w:rFonts w:hint="eastAsia" w:ascii="宋体" w:hAnsi="宋体" w:eastAsia="宋体"/>
                <w:b w:val="0"/>
                <w:kern w:val="2"/>
                <w:sz w:val="20"/>
                <w:highlight w:val="none"/>
              </w:rPr>
              <w:t>4、支持电压值、状态查询、地址修改、波特率设定、来电状态、过欠压设定</w:t>
            </w:r>
          </w:p>
          <w:p>
            <w:pPr>
              <w:pStyle w:val="2"/>
              <w:spacing w:before="0" w:after="0" w:line="240" w:lineRule="auto"/>
              <w:rPr>
                <w:rFonts w:ascii="宋体" w:hAnsi="宋体" w:eastAsia="宋体"/>
                <w:b w:val="0"/>
                <w:kern w:val="2"/>
                <w:sz w:val="20"/>
                <w:highlight w:val="none"/>
              </w:rPr>
            </w:pPr>
            <w:r>
              <w:rPr>
                <w:rFonts w:hint="eastAsia" w:ascii="宋体" w:hAnsi="宋体" w:eastAsia="宋体"/>
                <w:b w:val="0"/>
                <w:kern w:val="2"/>
                <w:sz w:val="20"/>
                <w:highlight w:val="none"/>
              </w:rPr>
              <w:t>5、额定电压AC220V</w:t>
            </w:r>
          </w:p>
          <w:p>
            <w:pPr>
              <w:pStyle w:val="2"/>
              <w:spacing w:before="0" w:after="0" w:line="240" w:lineRule="auto"/>
              <w:rPr>
                <w:rFonts w:ascii="宋体" w:hAnsi="宋体" w:eastAsia="宋体"/>
                <w:b w:val="0"/>
                <w:kern w:val="2"/>
                <w:sz w:val="20"/>
                <w:highlight w:val="none"/>
              </w:rPr>
            </w:pPr>
            <w:r>
              <w:rPr>
                <w:rFonts w:hint="eastAsia" w:ascii="宋体" w:hAnsi="宋体" w:eastAsia="宋体"/>
                <w:b w:val="0"/>
                <w:kern w:val="2"/>
                <w:sz w:val="20"/>
                <w:highlight w:val="none"/>
              </w:rPr>
              <w:t>6、极数2P，支持电流不小于63A</w:t>
            </w:r>
          </w:p>
          <w:p>
            <w:pPr>
              <w:pStyle w:val="2"/>
              <w:spacing w:before="0" w:after="0" w:line="240" w:lineRule="auto"/>
              <w:rPr>
                <w:rFonts w:ascii="宋体" w:hAnsi="宋体" w:eastAsia="宋体"/>
                <w:b w:val="0"/>
                <w:kern w:val="2"/>
                <w:sz w:val="20"/>
                <w:highlight w:val="none"/>
              </w:rPr>
            </w:pPr>
            <w:r>
              <w:rPr>
                <w:rFonts w:hint="eastAsia" w:ascii="宋体" w:hAnsi="宋体" w:eastAsia="宋体"/>
                <w:b w:val="0"/>
                <w:kern w:val="2"/>
                <w:sz w:val="20"/>
                <w:highlight w:val="none"/>
              </w:rPr>
              <w:t>7、支持标准35mm导轨安装</w:t>
            </w:r>
          </w:p>
        </w:tc>
        <w:tc>
          <w:tcPr>
            <w:tcW w:w="536" w:type="dxa"/>
            <w:vMerge w:val="continue"/>
            <w:tcBorders>
              <w:left w:val="nil"/>
              <w:right w:val="single" w:color="auto" w:sz="4" w:space="0"/>
            </w:tcBorders>
            <w:shd w:val="clear" w:color="auto" w:fill="FFFFFF"/>
            <w:vAlign w:val="center"/>
          </w:tcPr>
          <w:p>
            <w:pPr>
              <w:jc w:val="center"/>
              <w:rPr>
                <w:rFonts w:ascii="宋体" w:hAnsi="宋体"/>
                <w:sz w:val="20"/>
                <w:szCs w:val="20"/>
                <w:highlight w:val="none"/>
              </w:rPr>
            </w:pPr>
          </w:p>
        </w:tc>
        <w:tc>
          <w:tcPr>
            <w:tcW w:w="633" w:type="dxa"/>
            <w:vMerge w:val="continue"/>
            <w:tcBorders>
              <w:left w:val="nil"/>
              <w:right w:val="single" w:color="auto" w:sz="4" w:space="0"/>
            </w:tcBorders>
            <w:shd w:val="clear" w:color="auto" w:fill="FFFFFF"/>
            <w:vAlign w:val="center"/>
          </w:tcPr>
          <w:p>
            <w:pPr>
              <w:jc w:val="center"/>
              <w:rPr>
                <w:rFonts w:ascii="宋体" w:hAnsi="宋体"/>
                <w:sz w:val="20"/>
                <w:szCs w:val="20"/>
                <w:highlight w:val="none"/>
              </w:rPr>
            </w:pPr>
          </w:p>
        </w:tc>
      </w:tr>
      <w:tr>
        <w:tblPrEx>
          <w:tblCellMar>
            <w:top w:w="0" w:type="dxa"/>
            <w:left w:w="108" w:type="dxa"/>
            <w:bottom w:w="0" w:type="dxa"/>
            <w:right w:w="108" w:type="dxa"/>
          </w:tblCellMar>
        </w:tblPrEx>
        <w:trPr>
          <w:trHeight w:val="1150" w:hRule="atLeast"/>
        </w:trPr>
        <w:tc>
          <w:tcPr>
            <w:tcW w:w="536" w:type="dxa"/>
            <w:vMerge w:val="continue"/>
            <w:tcBorders>
              <w:left w:val="single" w:color="auto" w:sz="4" w:space="0"/>
              <w:bottom w:val="single" w:color="auto" w:sz="4" w:space="0"/>
              <w:right w:val="single" w:color="auto" w:sz="4" w:space="0"/>
            </w:tcBorders>
            <w:shd w:val="clear" w:color="auto" w:fill="FFFFFF"/>
            <w:vAlign w:val="center"/>
          </w:tcPr>
          <w:p>
            <w:pPr>
              <w:jc w:val="center"/>
              <w:rPr>
                <w:rFonts w:ascii="宋体" w:hAnsi="宋体"/>
                <w:sz w:val="20"/>
                <w:szCs w:val="20"/>
                <w:highlight w:val="none"/>
              </w:rPr>
            </w:pPr>
          </w:p>
        </w:tc>
        <w:tc>
          <w:tcPr>
            <w:tcW w:w="1076" w:type="dxa"/>
            <w:vMerge w:val="continue"/>
            <w:tcBorders>
              <w:left w:val="nil"/>
              <w:bottom w:val="single" w:color="auto" w:sz="4" w:space="0"/>
              <w:right w:val="single" w:color="auto" w:sz="4" w:space="0"/>
            </w:tcBorders>
            <w:shd w:val="clear" w:color="auto" w:fill="FFFFFF"/>
            <w:vAlign w:val="center"/>
          </w:tcPr>
          <w:p>
            <w:pPr>
              <w:pStyle w:val="2"/>
              <w:spacing w:before="0" w:after="0" w:line="240" w:lineRule="auto"/>
              <w:rPr>
                <w:rFonts w:ascii="宋体" w:hAnsi="宋体" w:eastAsia="宋体"/>
                <w:b w:val="0"/>
                <w:kern w:val="2"/>
                <w:sz w:val="20"/>
                <w:highlight w:val="none"/>
              </w:rPr>
            </w:pPr>
          </w:p>
        </w:tc>
        <w:tc>
          <w:tcPr>
            <w:tcW w:w="6209" w:type="dxa"/>
            <w:tcBorders>
              <w:top w:val="nil"/>
              <w:left w:val="nil"/>
              <w:bottom w:val="single" w:color="auto" w:sz="4" w:space="0"/>
              <w:right w:val="single" w:color="auto" w:sz="4" w:space="0"/>
            </w:tcBorders>
            <w:shd w:val="clear" w:color="auto" w:fill="FFFFFF"/>
            <w:vAlign w:val="center"/>
          </w:tcPr>
          <w:p>
            <w:pPr>
              <w:rPr>
                <w:rFonts w:ascii="宋体" w:hAnsi="宋体"/>
                <w:sz w:val="20"/>
                <w:szCs w:val="20"/>
                <w:highlight w:val="none"/>
              </w:rPr>
            </w:pPr>
            <w:r>
              <w:rPr>
                <w:rFonts w:hint="eastAsia" w:ascii="宋体" w:hAnsi="宋体"/>
                <w:sz w:val="20"/>
                <w:highlight w:val="none"/>
              </w:rPr>
              <w:t>RS485计量智能4P空气开关技术要求：</w:t>
            </w:r>
          </w:p>
          <w:p>
            <w:pPr>
              <w:rPr>
                <w:rFonts w:ascii="宋体" w:hAnsi="宋体"/>
                <w:sz w:val="20"/>
                <w:szCs w:val="20"/>
                <w:highlight w:val="none"/>
              </w:rPr>
            </w:pPr>
            <w:r>
              <w:rPr>
                <w:rFonts w:hint="eastAsia" w:ascii="宋体" w:hAnsi="宋体"/>
                <w:sz w:val="20"/>
                <w:szCs w:val="20"/>
                <w:highlight w:val="none"/>
              </w:rPr>
              <w:t xml:space="preserve">智能空气开关具有传统断路器过载和短路保护功能外,还有远程控制、电量统计、来电状态、过欠压设定、RS485 通讯等功能； </w:t>
            </w:r>
          </w:p>
          <w:p>
            <w:pPr>
              <w:pStyle w:val="2"/>
              <w:spacing w:before="0" w:after="0" w:line="240" w:lineRule="auto"/>
              <w:rPr>
                <w:rFonts w:ascii="宋体" w:hAnsi="宋体" w:eastAsia="宋体"/>
                <w:b w:val="0"/>
                <w:kern w:val="2"/>
                <w:sz w:val="20"/>
                <w:highlight w:val="none"/>
              </w:rPr>
            </w:pPr>
            <w:r>
              <w:rPr>
                <w:rFonts w:hint="eastAsia" w:ascii="宋体" w:hAnsi="宋体" w:eastAsia="宋体"/>
                <w:b w:val="0"/>
                <w:kern w:val="2"/>
                <w:sz w:val="20"/>
                <w:highlight w:val="none"/>
              </w:rPr>
              <w:t>1、具有自动保护、过载保护、欠压保护、自动开关机功能</w:t>
            </w:r>
          </w:p>
          <w:p>
            <w:pPr>
              <w:rPr>
                <w:rFonts w:ascii="宋体" w:hAnsi="宋体"/>
                <w:sz w:val="20"/>
                <w:szCs w:val="20"/>
                <w:highlight w:val="none"/>
              </w:rPr>
            </w:pPr>
            <w:r>
              <w:rPr>
                <w:rFonts w:hint="eastAsia" w:ascii="宋体" w:hAnsi="宋体"/>
                <w:sz w:val="20"/>
                <w:szCs w:val="20"/>
                <w:highlight w:val="none"/>
              </w:rPr>
              <w:t>2、通信接口采用标准串口（RS485），通信协议采用MODBUS协议，支持更改设备编号，波特率支持9600。</w:t>
            </w:r>
          </w:p>
          <w:p>
            <w:pPr>
              <w:pStyle w:val="2"/>
              <w:spacing w:before="0" w:after="0" w:line="240" w:lineRule="auto"/>
              <w:rPr>
                <w:rFonts w:ascii="宋体" w:hAnsi="宋体" w:eastAsia="宋体"/>
                <w:b w:val="0"/>
                <w:kern w:val="2"/>
                <w:sz w:val="20"/>
                <w:highlight w:val="none"/>
              </w:rPr>
            </w:pPr>
            <w:r>
              <w:rPr>
                <w:rFonts w:hint="eastAsia" w:ascii="宋体" w:hAnsi="宋体" w:eastAsia="宋体"/>
                <w:b w:val="0"/>
                <w:kern w:val="2"/>
                <w:sz w:val="20"/>
                <w:highlight w:val="none"/>
              </w:rPr>
              <w:t>3、通过ModBus-RTU协议指令实现设备控制，可读取电压、电流、有功功率、无功功率、温度、漏电值等参数，实现远程控制电量统计</w:t>
            </w:r>
          </w:p>
          <w:p>
            <w:pPr>
              <w:pStyle w:val="2"/>
              <w:spacing w:before="0" w:after="0" w:line="240" w:lineRule="auto"/>
              <w:rPr>
                <w:rFonts w:ascii="宋体" w:hAnsi="宋体" w:eastAsia="宋体"/>
                <w:b w:val="0"/>
                <w:kern w:val="2"/>
                <w:sz w:val="20"/>
                <w:highlight w:val="none"/>
              </w:rPr>
            </w:pPr>
            <w:r>
              <w:rPr>
                <w:rFonts w:hint="eastAsia" w:ascii="宋体" w:hAnsi="宋体" w:eastAsia="宋体"/>
                <w:b w:val="0"/>
                <w:kern w:val="2"/>
                <w:sz w:val="20"/>
                <w:highlight w:val="none"/>
              </w:rPr>
              <w:t>4、支持电压值、状态查询、地址修改、波特率设定、来电状态、过欠压设定</w:t>
            </w:r>
          </w:p>
          <w:p>
            <w:pPr>
              <w:pStyle w:val="2"/>
              <w:spacing w:before="0" w:after="0" w:line="240" w:lineRule="auto"/>
              <w:rPr>
                <w:rFonts w:ascii="宋体" w:hAnsi="宋体" w:eastAsia="宋体"/>
                <w:b w:val="0"/>
                <w:kern w:val="2"/>
                <w:sz w:val="20"/>
                <w:highlight w:val="none"/>
              </w:rPr>
            </w:pPr>
            <w:r>
              <w:rPr>
                <w:rFonts w:hint="eastAsia" w:ascii="宋体" w:hAnsi="宋体" w:eastAsia="宋体"/>
                <w:b w:val="0"/>
                <w:kern w:val="2"/>
                <w:sz w:val="20"/>
                <w:highlight w:val="none"/>
              </w:rPr>
              <w:t>5、额定电压AC220V</w:t>
            </w:r>
          </w:p>
          <w:p>
            <w:pPr>
              <w:pStyle w:val="2"/>
              <w:spacing w:before="0" w:after="0" w:line="240" w:lineRule="auto"/>
              <w:rPr>
                <w:rFonts w:ascii="宋体" w:hAnsi="宋体" w:eastAsia="宋体"/>
                <w:b w:val="0"/>
                <w:kern w:val="2"/>
                <w:sz w:val="20"/>
                <w:highlight w:val="none"/>
              </w:rPr>
            </w:pPr>
            <w:r>
              <w:rPr>
                <w:rFonts w:hint="eastAsia" w:ascii="宋体" w:hAnsi="宋体" w:eastAsia="宋体"/>
                <w:b w:val="0"/>
                <w:kern w:val="2"/>
                <w:sz w:val="20"/>
                <w:highlight w:val="none"/>
              </w:rPr>
              <w:t>6、极数4P，支持电流不小于63A</w:t>
            </w:r>
          </w:p>
          <w:p>
            <w:pPr>
              <w:rPr>
                <w:rFonts w:ascii="宋体" w:hAnsi="宋体"/>
                <w:sz w:val="20"/>
                <w:highlight w:val="none"/>
              </w:rPr>
            </w:pPr>
            <w:r>
              <w:rPr>
                <w:rFonts w:hint="eastAsia" w:ascii="宋体" w:hAnsi="宋体"/>
                <w:sz w:val="20"/>
                <w:highlight w:val="none"/>
              </w:rPr>
              <w:t>7、支持标准35mm导轨安装</w:t>
            </w:r>
          </w:p>
        </w:tc>
        <w:tc>
          <w:tcPr>
            <w:tcW w:w="536" w:type="dxa"/>
            <w:vMerge w:val="continue"/>
            <w:tcBorders>
              <w:left w:val="nil"/>
              <w:bottom w:val="single" w:color="auto" w:sz="4" w:space="0"/>
              <w:right w:val="single" w:color="auto" w:sz="4" w:space="0"/>
            </w:tcBorders>
            <w:shd w:val="clear" w:color="auto" w:fill="FFFFFF"/>
            <w:vAlign w:val="center"/>
          </w:tcPr>
          <w:p>
            <w:pPr>
              <w:jc w:val="center"/>
              <w:rPr>
                <w:rFonts w:ascii="宋体" w:hAnsi="宋体"/>
                <w:sz w:val="20"/>
                <w:szCs w:val="20"/>
                <w:highlight w:val="none"/>
              </w:rPr>
            </w:pPr>
          </w:p>
        </w:tc>
        <w:tc>
          <w:tcPr>
            <w:tcW w:w="633" w:type="dxa"/>
            <w:vMerge w:val="continue"/>
            <w:tcBorders>
              <w:left w:val="nil"/>
              <w:bottom w:val="single" w:color="auto" w:sz="4" w:space="0"/>
              <w:right w:val="single" w:color="auto" w:sz="4" w:space="0"/>
            </w:tcBorders>
            <w:shd w:val="clear" w:color="auto" w:fill="FFFFFF"/>
            <w:vAlign w:val="center"/>
          </w:tcPr>
          <w:p>
            <w:pPr>
              <w:jc w:val="center"/>
              <w:rPr>
                <w:rFonts w:ascii="宋体" w:hAnsi="宋体"/>
                <w:sz w:val="20"/>
                <w:szCs w:val="20"/>
                <w:highlight w:val="none"/>
              </w:rPr>
            </w:pPr>
          </w:p>
        </w:tc>
      </w:tr>
      <w:tr>
        <w:tblPrEx>
          <w:tblCellMar>
            <w:top w:w="0" w:type="dxa"/>
            <w:left w:w="108" w:type="dxa"/>
            <w:bottom w:w="0" w:type="dxa"/>
            <w:right w:w="108" w:type="dxa"/>
          </w:tblCellMar>
        </w:tblPrEx>
        <w:trPr>
          <w:trHeight w:val="90" w:hRule="atLeast"/>
        </w:trPr>
        <w:tc>
          <w:tcPr>
            <w:tcW w:w="536" w:type="dxa"/>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sz w:val="20"/>
                <w:szCs w:val="20"/>
                <w:highlight w:val="none"/>
              </w:rPr>
            </w:pPr>
            <w:r>
              <w:rPr>
                <w:rFonts w:hint="eastAsia" w:ascii="宋体" w:hAnsi="宋体"/>
                <w:sz w:val="20"/>
                <w:szCs w:val="20"/>
                <w:highlight w:val="none"/>
              </w:rPr>
              <w:t>2</w:t>
            </w:r>
          </w:p>
        </w:tc>
        <w:tc>
          <w:tcPr>
            <w:tcW w:w="1076" w:type="dxa"/>
            <w:tcBorders>
              <w:top w:val="nil"/>
              <w:left w:val="nil"/>
              <w:bottom w:val="single" w:color="auto" w:sz="4" w:space="0"/>
              <w:right w:val="single" w:color="auto" w:sz="4" w:space="0"/>
            </w:tcBorders>
            <w:shd w:val="clear" w:color="auto" w:fill="FFFFFF"/>
            <w:vAlign w:val="center"/>
          </w:tcPr>
          <w:p>
            <w:pPr>
              <w:jc w:val="center"/>
              <w:rPr>
                <w:rFonts w:ascii="宋体" w:hAnsi="宋体"/>
                <w:sz w:val="20"/>
                <w:szCs w:val="20"/>
                <w:highlight w:val="none"/>
              </w:rPr>
            </w:pPr>
            <w:r>
              <w:rPr>
                <w:rFonts w:hint="eastAsia" w:ascii="宋体" w:hAnsi="宋体"/>
                <w:sz w:val="20"/>
                <w:szCs w:val="20"/>
                <w:highlight w:val="none"/>
              </w:rPr>
              <w:t>带显示温湿度传感器</w:t>
            </w:r>
          </w:p>
        </w:tc>
        <w:tc>
          <w:tcPr>
            <w:tcW w:w="6209" w:type="dxa"/>
            <w:tcBorders>
              <w:top w:val="nil"/>
              <w:left w:val="nil"/>
              <w:bottom w:val="single" w:color="auto" w:sz="4" w:space="0"/>
              <w:right w:val="single" w:color="auto" w:sz="4" w:space="0"/>
            </w:tcBorders>
            <w:shd w:val="clear" w:color="auto" w:fill="FFFFFF"/>
            <w:vAlign w:val="center"/>
          </w:tcPr>
          <w:p>
            <w:pPr>
              <w:rPr>
                <w:rFonts w:ascii="宋体" w:hAnsi="宋体"/>
                <w:sz w:val="20"/>
                <w:szCs w:val="20"/>
                <w:highlight w:val="none"/>
              </w:rPr>
            </w:pPr>
            <w:r>
              <w:rPr>
                <w:rFonts w:hint="eastAsia" w:ascii="宋体" w:hAnsi="宋体"/>
                <w:sz w:val="20"/>
                <w:szCs w:val="20"/>
                <w:highlight w:val="none"/>
              </w:rPr>
              <w:t xml:space="preserve">1、温度范围： </w:t>
            </w:r>
            <w:r>
              <w:rPr>
                <w:rFonts w:ascii="宋体" w:hAnsi="宋体"/>
                <w:sz w:val="20"/>
                <w:szCs w:val="20"/>
                <w:highlight w:val="none"/>
              </w:rPr>
              <w:t>-2</w:t>
            </w:r>
            <w:r>
              <w:rPr>
                <w:rFonts w:hint="eastAsia" w:ascii="宋体" w:hAnsi="宋体"/>
                <w:sz w:val="20"/>
                <w:szCs w:val="20"/>
                <w:highlight w:val="none"/>
              </w:rPr>
              <w:t>0℃～80℃，温度误差：&lt;±0.5℃。</w:t>
            </w:r>
          </w:p>
          <w:p>
            <w:pPr>
              <w:rPr>
                <w:rFonts w:ascii="宋体" w:hAnsi="宋体"/>
                <w:sz w:val="20"/>
                <w:szCs w:val="20"/>
                <w:highlight w:val="none"/>
              </w:rPr>
            </w:pPr>
            <w:r>
              <w:rPr>
                <w:rFonts w:hint="eastAsia" w:ascii="宋体" w:hAnsi="宋体"/>
                <w:sz w:val="20"/>
                <w:szCs w:val="20"/>
                <w:highlight w:val="none"/>
              </w:rPr>
              <w:t>2、湿度范围 ：0～100%RH，湿度误差 ：&lt;±3%RH。</w:t>
            </w:r>
          </w:p>
          <w:p>
            <w:pPr>
              <w:rPr>
                <w:rFonts w:ascii="宋体" w:hAnsi="宋体"/>
                <w:sz w:val="20"/>
                <w:szCs w:val="20"/>
                <w:highlight w:val="none"/>
              </w:rPr>
            </w:pPr>
            <w:r>
              <w:rPr>
                <w:rFonts w:hint="eastAsia" w:ascii="宋体" w:hAnsi="宋体"/>
                <w:sz w:val="20"/>
                <w:szCs w:val="20"/>
                <w:highlight w:val="none"/>
              </w:rPr>
              <w:t>3、采用高精度数字温度传感器，温度精度不低于0.5℃，湿度精度不低于3%。</w:t>
            </w:r>
          </w:p>
          <w:p>
            <w:pPr>
              <w:rPr>
                <w:rFonts w:ascii="宋体" w:hAnsi="宋体"/>
                <w:sz w:val="20"/>
                <w:szCs w:val="20"/>
                <w:highlight w:val="none"/>
              </w:rPr>
            </w:pPr>
            <w:r>
              <w:rPr>
                <w:rFonts w:hint="eastAsia" w:ascii="宋体" w:hAnsi="宋体"/>
                <w:sz w:val="20"/>
                <w:szCs w:val="20"/>
                <w:highlight w:val="none"/>
              </w:rPr>
              <w:t>4、工作电压DC12</w:t>
            </w:r>
            <w:r>
              <w:rPr>
                <w:rFonts w:ascii="宋体" w:hAnsi="宋体"/>
                <w:sz w:val="20"/>
                <w:szCs w:val="20"/>
                <w:highlight w:val="none"/>
              </w:rPr>
              <w:t>-24</w:t>
            </w:r>
            <w:r>
              <w:rPr>
                <w:rFonts w:hint="eastAsia" w:ascii="宋体" w:hAnsi="宋体"/>
                <w:sz w:val="20"/>
                <w:szCs w:val="20"/>
                <w:highlight w:val="none"/>
              </w:rPr>
              <w:t>V，有电源防接反功能和过压保护功能。</w:t>
            </w:r>
          </w:p>
          <w:p>
            <w:pPr>
              <w:rPr>
                <w:rFonts w:ascii="宋体" w:hAnsi="宋体"/>
                <w:sz w:val="20"/>
                <w:szCs w:val="20"/>
                <w:highlight w:val="none"/>
              </w:rPr>
            </w:pPr>
            <w:r>
              <w:rPr>
                <w:rFonts w:hint="eastAsia" w:ascii="宋体" w:hAnsi="宋体"/>
                <w:sz w:val="20"/>
                <w:szCs w:val="20"/>
                <w:highlight w:val="none"/>
              </w:rPr>
              <w:t>5、通信接口采用标准串口（RS485），双RJ45连接，通信协议采用MODBUS协议。支持更改设备编号，波特率支持9600。</w:t>
            </w:r>
          </w:p>
          <w:p>
            <w:pPr>
              <w:rPr>
                <w:rFonts w:ascii="宋体" w:hAnsi="宋体"/>
                <w:sz w:val="20"/>
                <w:szCs w:val="20"/>
                <w:highlight w:val="none"/>
              </w:rPr>
            </w:pPr>
            <w:r>
              <w:rPr>
                <w:rFonts w:hint="eastAsia" w:ascii="宋体" w:hAnsi="宋体"/>
                <w:sz w:val="20"/>
                <w:szCs w:val="20"/>
                <w:highlight w:val="none"/>
              </w:rPr>
              <w:t>6、带有图形液晶显示，可直接查看系统运行状况以及测量结果，便于现场安装调试。</w:t>
            </w:r>
          </w:p>
        </w:tc>
        <w:tc>
          <w:tcPr>
            <w:tcW w:w="536" w:type="dxa"/>
            <w:tcBorders>
              <w:top w:val="nil"/>
              <w:left w:val="nil"/>
              <w:bottom w:val="single" w:color="auto" w:sz="4" w:space="0"/>
              <w:right w:val="single" w:color="auto" w:sz="4" w:space="0"/>
            </w:tcBorders>
            <w:shd w:val="clear" w:color="auto" w:fill="FFFFFF"/>
            <w:vAlign w:val="center"/>
          </w:tcPr>
          <w:p>
            <w:pPr>
              <w:jc w:val="center"/>
              <w:rPr>
                <w:rFonts w:ascii="宋体" w:hAnsi="宋体"/>
                <w:sz w:val="20"/>
                <w:szCs w:val="20"/>
                <w:highlight w:val="none"/>
              </w:rPr>
            </w:pPr>
            <w:r>
              <w:rPr>
                <w:rFonts w:hint="eastAsia" w:ascii="宋体" w:hAnsi="宋体"/>
                <w:sz w:val="20"/>
                <w:szCs w:val="20"/>
                <w:highlight w:val="none"/>
              </w:rPr>
              <w:t>个</w:t>
            </w:r>
          </w:p>
        </w:tc>
        <w:tc>
          <w:tcPr>
            <w:tcW w:w="633" w:type="dxa"/>
            <w:tcBorders>
              <w:top w:val="nil"/>
              <w:left w:val="nil"/>
              <w:bottom w:val="single" w:color="auto" w:sz="4" w:space="0"/>
              <w:right w:val="single" w:color="auto" w:sz="4" w:space="0"/>
            </w:tcBorders>
            <w:shd w:val="clear" w:color="auto" w:fill="FFFFFF"/>
            <w:vAlign w:val="center"/>
          </w:tcPr>
          <w:p>
            <w:pPr>
              <w:jc w:val="center"/>
              <w:rPr>
                <w:rFonts w:ascii="宋体" w:hAnsi="宋体"/>
                <w:sz w:val="20"/>
                <w:szCs w:val="20"/>
                <w:highlight w:val="none"/>
              </w:rPr>
            </w:pPr>
            <w:r>
              <w:rPr>
                <w:rFonts w:hint="eastAsia" w:ascii="宋体" w:hAnsi="宋体"/>
                <w:sz w:val="20"/>
                <w:szCs w:val="20"/>
                <w:highlight w:val="none"/>
              </w:rPr>
              <w:t>70</w:t>
            </w:r>
          </w:p>
        </w:tc>
      </w:tr>
      <w:tr>
        <w:tblPrEx>
          <w:tblCellMar>
            <w:top w:w="0" w:type="dxa"/>
            <w:left w:w="108" w:type="dxa"/>
            <w:bottom w:w="0" w:type="dxa"/>
            <w:right w:w="108" w:type="dxa"/>
          </w:tblCellMar>
        </w:tblPrEx>
        <w:trPr>
          <w:trHeight w:val="2376" w:hRule="atLeast"/>
        </w:trPr>
        <w:tc>
          <w:tcPr>
            <w:tcW w:w="536" w:type="dxa"/>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sz w:val="20"/>
                <w:szCs w:val="20"/>
                <w:highlight w:val="none"/>
              </w:rPr>
            </w:pPr>
            <w:r>
              <w:rPr>
                <w:rFonts w:hint="eastAsia" w:ascii="宋体" w:hAnsi="宋体"/>
                <w:sz w:val="20"/>
                <w:szCs w:val="20"/>
                <w:highlight w:val="none"/>
              </w:rPr>
              <w:t>3</w:t>
            </w:r>
          </w:p>
        </w:tc>
        <w:tc>
          <w:tcPr>
            <w:tcW w:w="1076" w:type="dxa"/>
            <w:tcBorders>
              <w:top w:val="nil"/>
              <w:left w:val="nil"/>
              <w:bottom w:val="single" w:color="auto" w:sz="4" w:space="0"/>
              <w:right w:val="single" w:color="auto" w:sz="4" w:space="0"/>
            </w:tcBorders>
            <w:shd w:val="clear" w:color="auto" w:fill="FFFFFF"/>
            <w:vAlign w:val="center"/>
          </w:tcPr>
          <w:p>
            <w:pPr>
              <w:jc w:val="center"/>
              <w:rPr>
                <w:rFonts w:ascii="宋体" w:hAnsi="宋体"/>
                <w:sz w:val="20"/>
                <w:szCs w:val="20"/>
                <w:highlight w:val="none"/>
              </w:rPr>
            </w:pPr>
            <w:r>
              <w:rPr>
                <w:rFonts w:hint="eastAsia" w:ascii="宋体" w:hAnsi="宋体"/>
                <w:sz w:val="20"/>
                <w:szCs w:val="20"/>
                <w:highlight w:val="none"/>
              </w:rPr>
              <w:t>光电烟感探测器</w:t>
            </w:r>
          </w:p>
        </w:tc>
        <w:tc>
          <w:tcPr>
            <w:tcW w:w="6209" w:type="dxa"/>
            <w:tcBorders>
              <w:top w:val="nil"/>
              <w:left w:val="nil"/>
              <w:bottom w:val="single" w:color="auto" w:sz="4" w:space="0"/>
              <w:right w:val="single" w:color="auto" w:sz="4" w:space="0"/>
            </w:tcBorders>
            <w:shd w:val="clear" w:color="auto" w:fill="FFFFFF"/>
            <w:vAlign w:val="center"/>
          </w:tcPr>
          <w:p>
            <w:pPr>
              <w:rPr>
                <w:rFonts w:ascii="宋体" w:hAnsi="宋体"/>
                <w:sz w:val="20"/>
                <w:szCs w:val="20"/>
                <w:highlight w:val="none"/>
              </w:rPr>
            </w:pPr>
            <w:r>
              <w:rPr>
                <w:rFonts w:hint="eastAsia" w:ascii="宋体" w:hAnsi="宋体"/>
                <w:sz w:val="20"/>
                <w:szCs w:val="20"/>
                <w:highlight w:val="none"/>
              </w:rPr>
              <w:t>1、电源： DC</w:t>
            </w:r>
            <w:r>
              <w:rPr>
                <w:rFonts w:ascii="宋体" w:hAnsi="宋体"/>
                <w:sz w:val="20"/>
                <w:szCs w:val="20"/>
                <w:highlight w:val="none"/>
              </w:rPr>
              <w:t>12-24</w:t>
            </w:r>
            <w:r>
              <w:rPr>
                <w:rFonts w:hint="eastAsia" w:ascii="宋体" w:hAnsi="宋体"/>
                <w:sz w:val="20"/>
                <w:szCs w:val="20"/>
                <w:highlight w:val="none"/>
              </w:rPr>
              <w:t>V</w:t>
            </w:r>
          </w:p>
          <w:p>
            <w:pPr>
              <w:rPr>
                <w:rFonts w:ascii="宋体" w:hAnsi="宋体"/>
                <w:sz w:val="20"/>
                <w:szCs w:val="20"/>
                <w:highlight w:val="none"/>
              </w:rPr>
            </w:pPr>
            <w:r>
              <w:rPr>
                <w:rFonts w:hint="eastAsia" w:ascii="宋体" w:hAnsi="宋体"/>
                <w:sz w:val="20"/>
                <w:szCs w:val="20"/>
                <w:highlight w:val="none"/>
              </w:rPr>
              <w:t>2、报警音量：不小于85dB</w:t>
            </w:r>
          </w:p>
          <w:p>
            <w:pPr>
              <w:rPr>
                <w:rFonts w:ascii="宋体" w:hAnsi="宋体"/>
                <w:sz w:val="20"/>
                <w:szCs w:val="20"/>
                <w:highlight w:val="none"/>
              </w:rPr>
            </w:pPr>
            <w:r>
              <w:rPr>
                <w:rFonts w:hint="eastAsia" w:ascii="宋体" w:hAnsi="宋体"/>
                <w:sz w:val="20"/>
                <w:szCs w:val="20"/>
                <w:highlight w:val="none"/>
              </w:rPr>
              <w:t>3、工作温度：－10℃~50℃</w:t>
            </w:r>
          </w:p>
          <w:p>
            <w:pPr>
              <w:rPr>
                <w:rFonts w:ascii="宋体" w:hAnsi="宋体"/>
                <w:sz w:val="20"/>
                <w:szCs w:val="20"/>
                <w:highlight w:val="none"/>
              </w:rPr>
            </w:pPr>
            <w:r>
              <w:rPr>
                <w:rFonts w:hint="eastAsia" w:ascii="宋体" w:hAnsi="宋体"/>
                <w:sz w:val="20"/>
                <w:szCs w:val="20"/>
                <w:highlight w:val="none"/>
              </w:rPr>
              <w:t>4、安装方式：吸顶安装</w:t>
            </w:r>
          </w:p>
          <w:p>
            <w:pPr>
              <w:rPr>
                <w:rFonts w:ascii="宋体" w:hAnsi="宋体"/>
                <w:sz w:val="20"/>
                <w:szCs w:val="20"/>
                <w:highlight w:val="none"/>
              </w:rPr>
            </w:pPr>
            <w:r>
              <w:rPr>
                <w:rFonts w:hint="eastAsia" w:ascii="宋体" w:hAnsi="宋体"/>
                <w:sz w:val="20"/>
                <w:szCs w:val="20"/>
                <w:highlight w:val="none"/>
              </w:rPr>
              <w:t>5、信号输出：常开、常闭</w:t>
            </w:r>
          </w:p>
          <w:p>
            <w:pPr>
              <w:rPr>
                <w:rFonts w:ascii="宋体" w:hAnsi="宋体"/>
                <w:sz w:val="20"/>
                <w:szCs w:val="20"/>
                <w:highlight w:val="none"/>
              </w:rPr>
            </w:pPr>
            <w:r>
              <w:rPr>
                <w:rFonts w:hint="eastAsia" w:ascii="宋体" w:hAnsi="宋体"/>
                <w:sz w:val="20"/>
                <w:szCs w:val="20"/>
                <w:highlight w:val="none"/>
              </w:rPr>
              <w:t>6、可选外壳：阻燃树脂</w:t>
            </w:r>
          </w:p>
          <w:p>
            <w:pPr>
              <w:rPr>
                <w:rFonts w:ascii="宋体" w:hAnsi="宋体"/>
                <w:sz w:val="20"/>
                <w:szCs w:val="20"/>
                <w:highlight w:val="none"/>
              </w:rPr>
            </w:pPr>
            <w:r>
              <w:rPr>
                <w:rFonts w:hint="eastAsia" w:ascii="宋体" w:hAnsi="宋体"/>
                <w:sz w:val="20"/>
                <w:szCs w:val="20"/>
                <w:highlight w:val="none"/>
              </w:rPr>
              <w:t>7、具有3C消防认证</w:t>
            </w:r>
          </w:p>
        </w:tc>
        <w:tc>
          <w:tcPr>
            <w:tcW w:w="536" w:type="dxa"/>
            <w:tcBorders>
              <w:top w:val="nil"/>
              <w:left w:val="nil"/>
              <w:bottom w:val="single" w:color="auto" w:sz="4" w:space="0"/>
              <w:right w:val="single" w:color="auto" w:sz="4" w:space="0"/>
            </w:tcBorders>
            <w:shd w:val="clear" w:color="auto" w:fill="FFFFFF"/>
            <w:vAlign w:val="center"/>
          </w:tcPr>
          <w:p>
            <w:pPr>
              <w:jc w:val="center"/>
              <w:rPr>
                <w:rFonts w:ascii="宋体" w:hAnsi="宋体"/>
                <w:sz w:val="20"/>
                <w:szCs w:val="20"/>
                <w:highlight w:val="none"/>
              </w:rPr>
            </w:pPr>
            <w:r>
              <w:rPr>
                <w:rFonts w:hint="eastAsia" w:ascii="宋体" w:hAnsi="宋体"/>
                <w:sz w:val="20"/>
                <w:szCs w:val="20"/>
                <w:highlight w:val="none"/>
              </w:rPr>
              <w:t>个</w:t>
            </w:r>
          </w:p>
        </w:tc>
        <w:tc>
          <w:tcPr>
            <w:tcW w:w="633" w:type="dxa"/>
            <w:tcBorders>
              <w:top w:val="nil"/>
              <w:left w:val="nil"/>
              <w:bottom w:val="single" w:color="auto" w:sz="4" w:space="0"/>
              <w:right w:val="single" w:color="auto" w:sz="4" w:space="0"/>
            </w:tcBorders>
            <w:shd w:val="clear" w:color="auto" w:fill="FFFFFF"/>
            <w:vAlign w:val="center"/>
          </w:tcPr>
          <w:p>
            <w:pPr>
              <w:jc w:val="center"/>
              <w:rPr>
                <w:rFonts w:ascii="宋体" w:hAnsi="宋体"/>
                <w:sz w:val="20"/>
                <w:szCs w:val="20"/>
                <w:highlight w:val="none"/>
              </w:rPr>
            </w:pPr>
            <w:r>
              <w:rPr>
                <w:rFonts w:hint="eastAsia" w:ascii="宋体" w:hAnsi="宋体"/>
                <w:sz w:val="20"/>
                <w:szCs w:val="20"/>
                <w:highlight w:val="none"/>
              </w:rPr>
              <w:t>70</w:t>
            </w:r>
          </w:p>
        </w:tc>
      </w:tr>
      <w:tr>
        <w:tblPrEx>
          <w:tblCellMar>
            <w:top w:w="0" w:type="dxa"/>
            <w:left w:w="108" w:type="dxa"/>
            <w:bottom w:w="0" w:type="dxa"/>
            <w:right w:w="108" w:type="dxa"/>
          </w:tblCellMar>
        </w:tblPrEx>
        <w:trPr>
          <w:trHeight w:val="528" w:hRule="atLeast"/>
        </w:trPr>
        <w:tc>
          <w:tcPr>
            <w:tcW w:w="536" w:type="dxa"/>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sz w:val="20"/>
                <w:szCs w:val="20"/>
                <w:highlight w:val="none"/>
              </w:rPr>
            </w:pPr>
            <w:r>
              <w:rPr>
                <w:rFonts w:hint="eastAsia" w:ascii="宋体" w:hAnsi="宋体"/>
                <w:sz w:val="20"/>
                <w:szCs w:val="20"/>
                <w:highlight w:val="none"/>
              </w:rPr>
              <w:t>4</w:t>
            </w:r>
          </w:p>
        </w:tc>
        <w:tc>
          <w:tcPr>
            <w:tcW w:w="1076" w:type="dxa"/>
            <w:tcBorders>
              <w:top w:val="nil"/>
              <w:left w:val="nil"/>
              <w:bottom w:val="single" w:color="auto" w:sz="4" w:space="0"/>
              <w:right w:val="single" w:color="auto" w:sz="4" w:space="0"/>
            </w:tcBorders>
            <w:shd w:val="clear" w:color="auto" w:fill="FFFFFF"/>
            <w:vAlign w:val="center"/>
          </w:tcPr>
          <w:p>
            <w:pPr>
              <w:jc w:val="center"/>
              <w:rPr>
                <w:rFonts w:ascii="宋体" w:hAnsi="宋体"/>
                <w:sz w:val="20"/>
                <w:szCs w:val="20"/>
                <w:highlight w:val="none"/>
              </w:rPr>
            </w:pPr>
            <w:r>
              <w:rPr>
                <w:rFonts w:hint="eastAsia" w:ascii="宋体" w:hAnsi="宋体"/>
                <w:sz w:val="20"/>
                <w:szCs w:val="20"/>
                <w:highlight w:val="none"/>
              </w:rPr>
              <w:t>红外遥控探头</w:t>
            </w:r>
          </w:p>
        </w:tc>
        <w:tc>
          <w:tcPr>
            <w:tcW w:w="6209" w:type="dxa"/>
            <w:tcBorders>
              <w:top w:val="nil"/>
              <w:left w:val="nil"/>
              <w:bottom w:val="single" w:color="auto" w:sz="4" w:space="0"/>
              <w:right w:val="single" w:color="auto" w:sz="4" w:space="0"/>
            </w:tcBorders>
            <w:shd w:val="clear" w:color="auto" w:fill="FFFFFF"/>
            <w:vAlign w:val="center"/>
          </w:tcPr>
          <w:p>
            <w:pPr>
              <w:rPr>
                <w:rFonts w:ascii="宋体" w:hAnsi="宋体"/>
                <w:sz w:val="20"/>
                <w:szCs w:val="20"/>
                <w:highlight w:val="none"/>
              </w:rPr>
            </w:pPr>
            <w:r>
              <w:rPr>
                <w:rFonts w:hint="eastAsia" w:ascii="宋体" w:hAnsi="宋体"/>
                <w:sz w:val="20"/>
                <w:szCs w:val="20"/>
                <w:highlight w:val="none"/>
              </w:rPr>
              <w:t>1、电源： DC</w:t>
            </w:r>
            <w:r>
              <w:rPr>
                <w:rFonts w:ascii="宋体" w:hAnsi="宋体"/>
                <w:sz w:val="20"/>
                <w:szCs w:val="20"/>
                <w:highlight w:val="none"/>
              </w:rPr>
              <w:t>12-24</w:t>
            </w:r>
            <w:r>
              <w:rPr>
                <w:rFonts w:hint="eastAsia" w:ascii="宋体" w:hAnsi="宋体"/>
                <w:sz w:val="20"/>
                <w:szCs w:val="20"/>
                <w:highlight w:val="none"/>
              </w:rPr>
              <w:t>V</w:t>
            </w:r>
          </w:p>
          <w:p>
            <w:pPr>
              <w:rPr>
                <w:rFonts w:ascii="宋体" w:hAnsi="宋体"/>
                <w:sz w:val="20"/>
                <w:szCs w:val="20"/>
                <w:highlight w:val="none"/>
              </w:rPr>
            </w:pPr>
            <w:r>
              <w:rPr>
                <w:rFonts w:hint="eastAsia" w:ascii="宋体" w:hAnsi="宋体"/>
                <w:sz w:val="20"/>
                <w:szCs w:val="20"/>
                <w:highlight w:val="none"/>
              </w:rPr>
              <w:t>2、通信接口采用标准串口（RS485），通信协议采用MODBUS协议，支持更改设备编号，波特率支持9600。</w:t>
            </w:r>
          </w:p>
          <w:p>
            <w:pPr>
              <w:rPr>
                <w:rFonts w:ascii="宋体" w:hAnsi="宋体"/>
                <w:sz w:val="20"/>
                <w:szCs w:val="20"/>
                <w:highlight w:val="none"/>
              </w:rPr>
            </w:pPr>
            <w:r>
              <w:rPr>
                <w:rFonts w:hint="eastAsia" w:ascii="宋体" w:hAnsi="宋体"/>
                <w:sz w:val="20"/>
                <w:szCs w:val="20"/>
                <w:highlight w:val="none"/>
              </w:rPr>
              <w:t>3、可学习各类遥控器功能</w:t>
            </w:r>
          </w:p>
          <w:p>
            <w:pPr>
              <w:rPr>
                <w:rFonts w:ascii="宋体" w:hAnsi="宋体"/>
                <w:sz w:val="20"/>
                <w:szCs w:val="20"/>
                <w:highlight w:val="none"/>
              </w:rPr>
            </w:pPr>
            <w:r>
              <w:rPr>
                <w:rFonts w:hint="eastAsia" w:ascii="宋体" w:hAnsi="宋体"/>
                <w:sz w:val="20"/>
                <w:szCs w:val="20"/>
                <w:highlight w:val="none"/>
              </w:rPr>
              <w:t>4、通过指令控制红外发射信号控制空调开/关，调节空调参数</w:t>
            </w:r>
          </w:p>
        </w:tc>
        <w:tc>
          <w:tcPr>
            <w:tcW w:w="536" w:type="dxa"/>
            <w:tcBorders>
              <w:top w:val="nil"/>
              <w:left w:val="nil"/>
              <w:bottom w:val="single" w:color="auto" w:sz="4" w:space="0"/>
              <w:right w:val="single" w:color="auto" w:sz="4" w:space="0"/>
            </w:tcBorders>
            <w:shd w:val="clear" w:color="auto" w:fill="FFFFFF"/>
            <w:vAlign w:val="center"/>
          </w:tcPr>
          <w:p>
            <w:pPr>
              <w:jc w:val="center"/>
              <w:rPr>
                <w:rFonts w:ascii="宋体" w:hAnsi="宋体"/>
                <w:sz w:val="20"/>
                <w:szCs w:val="20"/>
                <w:highlight w:val="none"/>
              </w:rPr>
            </w:pPr>
            <w:r>
              <w:rPr>
                <w:rFonts w:hint="eastAsia" w:ascii="宋体" w:hAnsi="宋体"/>
                <w:sz w:val="20"/>
                <w:szCs w:val="20"/>
                <w:highlight w:val="none"/>
              </w:rPr>
              <w:t>个</w:t>
            </w:r>
          </w:p>
        </w:tc>
        <w:tc>
          <w:tcPr>
            <w:tcW w:w="633" w:type="dxa"/>
            <w:tcBorders>
              <w:top w:val="nil"/>
              <w:left w:val="nil"/>
              <w:bottom w:val="single" w:color="auto" w:sz="4" w:space="0"/>
              <w:right w:val="single" w:color="auto" w:sz="4" w:space="0"/>
            </w:tcBorders>
            <w:shd w:val="clear" w:color="auto" w:fill="FFFFFF"/>
            <w:vAlign w:val="center"/>
          </w:tcPr>
          <w:p>
            <w:pPr>
              <w:jc w:val="center"/>
              <w:rPr>
                <w:rFonts w:ascii="宋体" w:hAnsi="宋体"/>
                <w:sz w:val="20"/>
                <w:szCs w:val="20"/>
                <w:highlight w:val="none"/>
              </w:rPr>
            </w:pPr>
            <w:r>
              <w:rPr>
                <w:rFonts w:hint="eastAsia" w:ascii="宋体" w:hAnsi="宋体"/>
                <w:sz w:val="20"/>
                <w:szCs w:val="20"/>
                <w:highlight w:val="none"/>
              </w:rPr>
              <w:t>6</w:t>
            </w:r>
            <w:r>
              <w:rPr>
                <w:rFonts w:ascii="宋体" w:hAnsi="宋体"/>
                <w:sz w:val="20"/>
                <w:szCs w:val="20"/>
                <w:highlight w:val="none"/>
              </w:rPr>
              <w:t>5</w:t>
            </w:r>
          </w:p>
        </w:tc>
      </w:tr>
      <w:tr>
        <w:tblPrEx>
          <w:tblCellMar>
            <w:top w:w="0" w:type="dxa"/>
            <w:left w:w="108" w:type="dxa"/>
            <w:bottom w:w="0" w:type="dxa"/>
            <w:right w:w="108" w:type="dxa"/>
          </w:tblCellMar>
        </w:tblPrEx>
        <w:trPr>
          <w:trHeight w:val="40" w:hRule="atLeast"/>
        </w:trPr>
        <w:tc>
          <w:tcPr>
            <w:tcW w:w="536" w:type="dxa"/>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sz w:val="20"/>
                <w:szCs w:val="20"/>
                <w:highlight w:val="none"/>
              </w:rPr>
            </w:pPr>
            <w:r>
              <w:rPr>
                <w:rFonts w:hint="eastAsia" w:ascii="宋体" w:hAnsi="宋体"/>
                <w:sz w:val="20"/>
                <w:szCs w:val="20"/>
                <w:highlight w:val="none"/>
              </w:rPr>
              <w:t>5</w:t>
            </w:r>
          </w:p>
        </w:tc>
        <w:tc>
          <w:tcPr>
            <w:tcW w:w="1076" w:type="dxa"/>
            <w:tcBorders>
              <w:top w:val="nil"/>
              <w:left w:val="nil"/>
              <w:bottom w:val="single" w:color="auto" w:sz="4" w:space="0"/>
              <w:right w:val="single" w:color="auto" w:sz="4" w:space="0"/>
            </w:tcBorders>
            <w:shd w:val="clear" w:color="auto" w:fill="FFFFFF"/>
            <w:vAlign w:val="center"/>
          </w:tcPr>
          <w:p>
            <w:pPr>
              <w:jc w:val="center"/>
              <w:rPr>
                <w:rFonts w:ascii="宋体" w:hAnsi="宋体"/>
                <w:sz w:val="20"/>
                <w:szCs w:val="20"/>
                <w:highlight w:val="none"/>
              </w:rPr>
            </w:pPr>
            <w:r>
              <w:rPr>
                <w:rFonts w:hint="eastAsia" w:ascii="宋体" w:hAnsi="宋体"/>
                <w:sz w:val="20"/>
                <w:szCs w:val="20"/>
                <w:highlight w:val="none"/>
              </w:rPr>
              <w:t>智能门禁</w:t>
            </w:r>
          </w:p>
        </w:tc>
        <w:tc>
          <w:tcPr>
            <w:tcW w:w="6209" w:type="dxa"/>
            <w:tcBorders>
              <w:top w:val="nil"/>
              <w:left w:val="nil"/>
              <w:bottom w:val="single" w:color="auto" w:sz="4" w:space="0"/>
              <w:right w:val="single" w:color="auto" w:sz="4" w:space="0"/>
            </w:tcBorders>
            <w:shd w:val="clear" w:color="auto" w:fill="FFFFFF"/>
            <w:vAlign w:val="center"/>
          </w:tcPr>
          <w:p>
            <w:pPr>
              <w:rPr>
                <w:rFonts w:ascii="宋体" w:hAnsi="宋体"/>
                <w:sz w:val="20"/>
                <w:szCs w:val="20"/>
                <w:highlight w:val="none"/>
              </w:rPr>
            </w:pPr>
            <w:r>
              <w:rPr>
                <w:rFonts w:hint="eastAsia" w:ascii="宋体" w:hAnsi="宋体"/>
                <w:sz w:val="20"/>
                <w:szCs w:val="20"/>
                <w:highlight w:val="none"/>
              </w:rPr>
              <w:t>1、人脸识别门禁一体机，支持人脸、刷IC卡、远程开门、可视对讲，带嵌入式 Linux操作系统，配置不小于7英寸触摸屏，配置200万双目摄像头，支持深度学习算法，本地至少支持10000人脸库，1:N人脸比对时间不大于0.2S/人，支持13.56MHz，Mifare、CPU 卡序列号读取，支持至少5万条事件记录，提供10/100/100OMbps自适应网口，支持1路RS485接口。</w:t>
            </w:r>
          </w:p>
          <w:p>
            <w:pPr>
              <w:rPr>
                <w:rFonts w:ascii="宋体" w:hAnsi="宋体"/>
                <w:sz w:val="20"/>
                <w:szCs w:val="20"/>
                <w:highlight w:val="none"/>
              </w:rPr>
            </w:pPr>
            <w:r>
              <w:rPr>
                <w:rFonts w:hint="eastAsia" w:ascii="宋体" w:hAnsi="宋体"/>
                <w:sz w:val="20"/>
                <w:szCs w:val="20"/>
                <w:highlight w:val="none"/>
              </w:rPr>
              <w:t>2、配置不小于280公斤门禁磁力锁，带门状态输出、开门按钮</w:t>
            </w:r>
          </w:p>
          <w:p>
            <w:pPr>
              <w:rPr>
                <w:rFonts w:ascii="宋体" w:hAnsi="宋体"/>
                <w:sz w:val="20"/>
                <w:szCs w:val="20"/>
                <w:highlight w:val="none"/>
              </w:rPr>
            </w:pPr>
            <w:r>
              <w:rPr>
                <w:rFonts w:hint="eastAsia" w:ascii="宋体" w:hAnsi="宋体"/>
                <w:sz w:val="20"/>
                <w:szCs w:val="20"/>
                <w:highlight w:val="none"/>
              </w:rPr>
              <w:t>3、配置12V门禁电源</w:t>
            </w:r>
          </w:p>
          <w:p>
            <w:pPr>
              <w:rPr>
                <w:rFonts w:ascii="宋体" w:hAnsi="宋体"/>
                <w:sz w:val="20"/>
                <w:szCs w:val="20"/>
                <w:highlight w:val="none"/>
              </w:rPr>
            </w:pPr>
            <w:r>
              <w:rPr>
                <w:rFonts w:hint="eastAsia" w:ascii="宋体" w:hAnsi="宋体"/>
                <w:sz w:val="20"/>
                <w:szCs w:val="20"/>
                <w:highlight w:val="none"/>
              </w:rPr>
              <w:t>4、防护等级 IP65</w:t>
            </w:r>
          </w:p>
          <w:p>
            <w:pPr>
              <w:rPr>
                <w:rFonts w:ascii="宋体" w:hAnsi="宋体"/>
                <w:sz w:val="20"/>
                <w:szCs w:val="20"/>
                <w:highlight w:val="none"/>
              </w:rPr>
            </w:pPr>
            <w:r>
              <w:rPr>
                <w:rFonts w:ascii="宋体" w:hAnsi="宋体"/>
                <w:sz w:val="20"/>
                <w:szCs w:val="20"/>
                <w:highlight w:val="none"/>
              </w:rPr>
              <w:t>5</w:t>
            </w:r>
            <w:r>
              <w:rPr>
                <w:rFonts w:hint="eastAsia" w:ascii="宋体" w:hAnsi="宋体"/>
                <w:sz w:val="20"/>
                <w:szCs w:val="20"/>
                <w:highlight w:val="none"/>
              </w:rPr>
              <w:t>、提供门禁及监控统一集中管理平台，实现远程下发配置与管理</w:t>
            </w:r>
          </w:p>
          <w:p>
            <w:pPr>
              <w:rPr>
                <w:rFonts w:ascii="宋体" w:hAnsi="宋体"/>
                <w:sz w:val="20"/>
                <w:szCs w:val="20"/>
                <w:highlight w:val="none"/>
              </w:rPr>
            </w:pPr>
            <w:r>
              <w:rPr>
                <w:rFonts w:hint="eastAsia" w:ascii="宋体" w:hAnsi="宋体"/>
                <w:sz w:val="20"/>
                <w:szCs w:val="20"/>
                <w:highlight w:val="none"/>
              </w:rPr>
              <w:t>6、提供网线及支架辅材并完成调试安装</w:t>
            </w:r>
          </w:p>
        </w:tc>
        <w:tc>
          <w:tcPr>
            <w:tcW w:w="536" w:type="dxa"/>
            <w:tcBorders>
              <w:top w:val="nil"/>
              <w:left w:val="nil"/>
              <w:bottom w:val="single" w:color="auto" w:sz="4" w:space="0"/>
              <w:right w:val="single" w:color="auto" w:sz="4" w:space="0"/>
            </w:tcBorders>
            <w:shd w:val="clear" w:color="auto" w:fill="FFFFFF"/>
            <w:vAlign w:val="center"/>
          </w:tcPr>
          <w:p>
            <w:pPr>
              <w:jc w:val="center"/>
              <w:rPr>
                <w:rFonts w:ascii="宋体" w:hAnsi="宋体"/>
                <w:sz w:val="20"/>
                <w:szCs w:val="20"/>
                <w:highlight w:val="none"/>
              </w:rPr>
            </w:pPr>
            <w:r>
              <w:rPr>
                <w:rFonts w:hint="eastAsia" w:ascii="宋体" w:hAnsi="宋体"/>
                <w:sz w:val="20"/>
                <w:szCs w:val="20"/>
                <w:highlight w:val="none"/>
              </w:rPr>
              <w:t>个</w:t>
            </w:r>
          </w:p>
        </w:tc>
        <w:tc>
          <w:tcPr>
            <w:tcW w:w="633" w:type="dxa"/>
            <w:tcBorders>
              <w:top w:val="nil"/>
              <w:left w:val="nil"/>
              <w:bottom w:val="single" w:color="auto" w:sz="4" w:space="0"/>
              <w:right w:val="single" w:color="auto" w:sz="4" w:space="0"/>
            </w:tcBorders>
            <w:shd w:val="clear" w:color="auto" w:fill="FFFFFF"/>
            <w:vAlign w:val="center"/>
          </w:tcPr>
          <w:p>
            <w:pPr>
              <w:jc w:val="center"/>
              <w:rPr>
                <w:rFonts w:ascii="宋体" w:hAnsi="宋体"/>
                <w:sz w:val="20"/>
                <w:szCs w:val="20"/>
                <w:highlight w:val="none"/>
              </w:rPr>
            </w:pPr>
            <w:r>
              <w:rPr>
                <w:rFonts w:hint="eastAsia" w:ascii="宋体" w:hAnsi="宋体"/>
                <w:sz w:val="20"/>
                <w:szCs w:val="20"/>
                <w:highlight w:val="none"/>
              </w:rPr>
              <w:t>65</w:t>
            </w:r>
          </w:p>
        </w:tc>
      </w:tr>
      <w:tr>
        <w:tblPrEx>
          <w:tblCellMar>
            <w:top w:w="0" w:type="dxa"/>
            <w:left w:w="108" w:type="dxa"/>
            <w:bottom w:w="0" w:type="dxa"/>
            <w:right w:w="108" w:type="dxa"/>
          </w:tblCellMar>
        </w:tblPrEx>
        <w:trPr>
          <w:trHeight w:val="2245" w:hRule="atLeast"/>
        </w:trPr>
        <w:tc>
          <w:tcPr>
            <w:tcW w:w="536" w:type="dxa"/>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sz w:val="20"/>
                <w:szCs w:val="20"/>
                <w:highlight w:val="none"/>
              </w:rPr>
            </w:pPr>
            <w:r>
              <w:rPr>
                <w:rFonts w:hint="eastAsia" w:ascii="宋体" w:hAnsi="宋体"/>
                <w:sz w:val="20"/>
                <w:szCs w:val="20"/>
                <w:highlight w:val="none"/>
              </w:rPr>
              <w:t>6</w:t>
            </w:r>
          </w:p>
        </w:tc>
        <w:tc>
          <w:tcPr>
            <w:tcW w:w="1076" w:type="dxa"/>
            <w:tcBorders>
              <w:top w:val="nil"/>
              <w:left w:val="nil"/>
              <w:bottom w:val="single" w:color="auto" w:sz="4" w:space="0"/>
              <w:right w:val="single" w:color="auto" w:sz="4" w:space="0"/>
            </w:tcBorders>
            <w:shd w:val="clear" w:color="auto" w:fill="FFFFFF"/>
            <w:vAlign w:val="center"/>
          </w:tcPr>
          <w:p>
            <w:pPr>
              <w:jc w:val="center"/>
              <w:rPr>
                <w:rFonts w:ascii="宋体" w:hAnsi="宋体"/>
                <w:sz w:val="20"/>
                <w:szCs w:val="20"/>
                <w:highlight w:val="none"/>
              </w:rPr>
            </w:pPr>
            <w:r>
              <w:rPr>
                <w:rFonts w:hint="eastAsia" w:ascii="宋体" w:hAnsi="宋体"/>
                <w:sz w:val="20"/>
                <w:szCs w:val="20"/>
                <w:highlight w:val="none"/>
              </w:rPr>
              <w:t>声光报警器</w:t>
            </w:r>
          </w:p>
        </w:tc>
        <w:tc>
          <w:tcPr>
            <w:tcW w:w="6209" w:type="dxa"/>
            <w:tcBorders>
              <w:top w:val="nil"/>
              <w:left w:val="nil"/>
              <w:bottom w:val="single" w:color="auto" w:sz="4" w:space="0"/>
              <w:right w:val="single" w:color="auto" w:sz="4" w:space="0"/>
            </w:tcBorders>
            <w:shd w:val="clear" w:color="auto" w:fill="FFFFFF"/>
            <w:vAlign w:val="center"/>
          </w:tcPr>
          <w:p>
            <w:pPr>
              <w:rPr>
                <w:rFonts w:ascii="宋体" w:hAnsi="宋体"/>
                <w:sz w:val="20"/>
                <w:szCs w:val="20"/>
                <w:highlight w:val="none"/>
              </w:rPr>
            </w:pPr>
            <w:r>
              <w:rPr>
                <w:rFonts w:hint="eastAsia" w:ascii="宋体" w:hAnsi="宋体"/>
                <w:sz w:val="20"/>
                <w:szCs w:val="20"/>
                <w:highlight w:val="none"/>
              </w:rPr>
              <w:t>1、直流12V-24V</w:t>
            </w:r>
          </w:p>
          <w:p>
            <w:pPr>
              <w:rPr>
                <w:rFonts w:ascii="宋体" w:hAnsi="宋体"/>
                <w:sz w:val="20"/>
                <w:szCs w:val="20"/>
                <w:highlight w:val="none"/>
              </w:rPr>
            </w:pPr>
            <w:r>
              <w:rPr>
                <w:rFonts w:hint="eastAsia" w:ascii="宋体" w:hAnsi="宋体"/>
                <w:sz w:val="20"/>
                <w:szCs w:val="20"/>
                <w:highlight w:val="none"/>
              </w:rPr>
              <w:t>2、红色警示灯，旋转式发光</w:t>
            </w:r>
          </w:p>
          <w:p>
            <w:pPr>
              <w:rPr>
                <w:rFonts w:ascii="宋体" w:hAnsi="宋体"/>
                <w:sz w:val="20"/>
                <w:szCs w:val="20"/>
                <w:highlight w:val="none"/>
              </w:rPr>
            </w:pPr>
            <w:r>
              <w:rPr>
                <w:rFonts w:hint="eastAsia" w:ascii="宋体" w:hAnsi="宋体"/>
                <w:sz w:val="20"/>
                <w:szCs w:val="20"/>
                <w:highlight w:val="none"/>
              </w:rPr>
              <w:t>3、警示蜂鸣声120分贝以上</w:t>
            </w:r>
          </w:p>
          <w:p>
            <w:pPr>
              <w:rPr>
                <w:rFonts w:ascii="宋体" w:hAnsi="宋体"/>
                <w:sz w:val="20"/>
                <w:szCs w:val="20"/>
                <w:highlight w:val="none"/>
              </w:rPr>
            </w:pPr>
            <w:r>
              <w:rPr>
                <w:rFonts w:hint="eastAsia" w:ascii="宋体" w:hAnsi="宋体"/>
                <w:sz w:val="20"/>
                <w:szCs w:val="20"/>
                <w:highlight w:val="none"/>
              </w:rPr>
              <w:t>4、支持音频格式MP3，报警音可定制语音</w:t>
            </w:r>
          </w:p>
          <w:p>
            <w:pPr>
              <w:rPr>
                <w:rFonts w:ascii="宋体" w:hAnsi="宋体"/>
                <w:sz w:val="20"/>
                <w:szCs w:val="20"/>
                <w:highlight w:val="none"/>
              </w:rPr>
            </w:pPr>
            <w:r>
              <w:rPr>
                <w:rFonts w:hint="eastAsia" w:ascii="宋体" w:hAnsi="宋体"/>
                <w:sz w:val="20"/>
                <w:szCs w:val="20"/>
                <w:highlight w:val="none"/>
              </w:rPr>
              <w:t>5、支持壁挂安装</w:t>
            </w:r>
          </w:p>
          <w:p>
            <w:pPr>
              <w:rPr>
                <w:rFonts w:ascii="宋体" w:hAnsi="宋体"/>
                <w:sz w:val="20"/>
                <w:szCs w:val="20"/>
                <w:highlight w:val="none"/>
              </w:rPr>
            </w:pPr>
            <w:r>
              <w:rPr>
                <w:rFonts w:hint="eastAsia" w:ascii="宋体" w:hAnsi="宋体"/>
                <w:sz w:val="20"/>
                <w:szCs w:val="20"/>
                <w:highlight w:val="none"/>
              </w:rPr>
              <w:t>6、防护等级IP65</w:t>
            </w:r>
          </w:p>
          <w:p>
            <w:pPr>
              <w:rPr>
                <w:rFonts w:ascii="宋体" w:hAnsi="宋体"/>
                <w:sz w:val="20"/>
                <w:szCs w:val="20"/>
                <w:highlight w:val="none"/>
              </w:rPr>
            </w:pPr>
            <w:r>
              <w:rPr>
                <w:rFonts w:hint="eastAsia" w:ascii="宋体" w:hAnsi="宋体"/>
                <w:sz w:val="20"/>
                <w:szCs w:val="20"/>
                <w:highlight w:val="none"/>
              </w:rPr>
              <w:t>7、外壳冷轧钢+ABS灯罩+8欧10W喇叭</w:t>
            </w:r>
          </w:p>
        </w:tc>
        <w:tc>
          <w:tcPr>
            <w:tcW w:w="536" w:type="dxa"/>
            <w:tcBorders>
              <w:top w:val="nil"/>
              <w:left w:val="nil"/>
              <w:bottom w:val="single" w:color="auto" w:sz="4" w:space="0"/>
              <w:right w:val="single" w:color="auto" w:sz="4" w:space="0"/>
            </w:tcBorders>
            <w:shd w:val="clear" w:color="auto" w:fill="FFFFFF"/>
            <w:vAlign w:val="center"/>
          </w:tcPr>
          <w:p>
            <w:pPr>
              <w:jc w:val="center"/>
              <w:rPr>
                <w:rFonts w:ascii="宋体" w:hAnsi="宋体"/>
                <w:sz w:val="20"/>
                <w:szCs w:val="20"/>
                <w:highlight w:val="none"/>
              </w:rPr>
            </w:pPr>
            <w:r>
              <w:rPr>
                <w:rFonts w:hint="eastAsia" w:ascii="宋体" w:hAnsi="宋体"/>
                <w:sz w:val="20"/>
                <w:szCs w:val="20"/>
                <w:highlight w:val="none"/>
              </w:rPr>
              <w:t>套</w:t>
            </w:r>
          </w:p>
        </w:tc>
        <w:tc>
          <w:tcPr>
            <w:tcW w:w="633" w:type="dxa"/>
            <w:tcBorders>
              <w:top w:val="nil"/>
              <w:left w:val="nil"/>
              <w:bottom w:val="single" w:color="auto" w:sz="4" w:space="0"/>
              <w:right w:val="single" w:color="auto" w:sz="4" w:space="0"/>
            </w:tcBorders>
            <w:shd w:val="clear" w:color="auto" w:fill="FFFFFF"/>
            <w:vAlign w:val="center"/>
          </w:tcPr>
          <w:p>
            <w:pPr>
              <w:jc w:val="center"/>
              <w:rPr>
                <w:rFonts w:ascii="宋体" w:hAnsi="宋体"/>
                <w:sz w:val="20"/>
                <w:szCs w:val="20"/>
                <w:highlight w:val="none"/>
              </w:rPr>
            </w:pPr>
            <w:r>
              <w:rPr>
                <w:rFonts w:hint="eastAsia" w:ascii="宋体" w:hAnsi="宋体"/>
                <w:sz w:val="20"/>
                <w:szCs w:val="20"/>
                <w:highlight w:val="none"/>
              </w:rPr>
              <w:t>6</w:t>
            </w:r>
            <w:r>
              <w:rPr>
                <w:rFonts w:ascii="宋体" w:hAnsi="宋体"/>
                <w:sz w:val="20"/>
                <w:szCs w:val="20"/>
                <w:highlight w:val="none"/>
              </w:rPr>
              <w:t>5</w:t>
            </w:r>
          </w:p>
        </w:tc>
      </w:tr>
      <w:tr>
        <w:tblPrEx>
          <w:tblCellMar>
            <w:top w:w="0" w:type="dxa"/>
            <w:left w:w="108" w:type="dxa"/>
            <w:bottom w:w="0" w:type="dxa"/>
            <w:right w:w="108" w:type="dxa"/>
          </w:tblCellMar>
        </w:tblPrEx>
        <w:trPr>
          <w:trHeight w:val="528" w:hRule="atLeast"/>
        </w:trPr>
        <w:tc>
          <w:tcPr>
            <w:tcW w:w="536" w:type="dxa"/>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sz w:val="20"/>
                <w:szCs w:val="20"/>
                <w:highlight w:val="none"/>
              </w:rPr>
            </w:pPr>
            <w:r>
              <w:rPr>
                <w:rFonts w:hint="eastAsia" w:ascii="宋体" w:hAnsi="宋体"/>
                <w:sz w:val="20"/>
                <w:szCs w:val="20"/>
                <w:highlight w:val="none"/>
              </w:rPr>
              <w:t>7</w:t>
            </w:r>
          </w:p>
        </w:tc>
        <w:tc>
          <w:tcPr>
            <w:tcW w:w="1076" w:type="dxa"/>
            <w:tcBorders>
              <w:top w:val="nil"/>
              <w:left w:val="nil"/>
              <w:bottom w:val="single" w:color="auto" w:sz="4" w:space="0"/>
              <w:right w:val="single" w:color="auto" w:sz="4" w:space="0"/>
            </w:tcBorders>
            <w:shd w:val="clear" w:color="auto" w:fill="FFFFFF"/>
            <w:vAlign w:val="center"/>
          </w:tcPr>
          <w:p>
            <w:pPr>
              <w:jc w:val="center"/>
              <w:rPr>
                <w:rFonts w:ascii="宋体" w:hAnsi="宋体"/>
                <w:sz w:val="20"/>
                <w:szCs w:val="20"/>
                <w:highlight w:val="none"/>
              </w:rPr>
            </w:pPr>
            <w:r>
              <w:rPr>
                <w:rFonts w:hint="eastAsia" w:ascii="宋体" w:hAnsi="宋体"/>
                <w:sz w:val="20"/>
                <w:szCs w:val="20"/>
                <w:highlight w:val="none"/>
              </w:rPr>
              <w:t>云台球机</w:t>
            </w:r>
          </w:p>
        </w:tc>
        <w:tc>
          <w:tcPr>
            <w:tcW w:w="6209" w:type="dxa"/>
            <w:tcBorders>
              <w:top w:val="nil"/>
              <w:left w:val="nil"/>
              <w:bottom w:val="single" w:color="auto" w:sz="4" w:space="0"/>
              <w:right w:val="single" w:color="auto" w:sz="4" w:space="0"/>
            </w:tcBorders>
            <w:shd w:val="clear" w:color="auto" w:fill="FFFFFF"/>
            <w:vAlign w:val="center"/>
          </w:tcPr>
          <w:p>
            <w:pPr>
              <w:rPr>
                <w:rFonts w:ascii="宋体" w:hAnsi="宋体"/>
                <w:sz w:val="20"/>
                <w:szCs w:val="20"/>
                <w:highlight w:val="none"/>
              </w:rPr>
            </w:pPr>
            <w:r>
              <w:rPr>
                <w:rFonts w:hint="eastAsia" w:ascii="宋体" w:hAnsi="宋体"/>
                <w:sz w:val="20"/>
                <w:szCs w:val="20"/>
                <w:highlight w:val="none"/>
              </w:rPr>
              <w:t>1、有线+物联卡联网云台球机，支持语音对讲，全彩夜视</w:t>
            </w:r>
          </w:p>
          <w:p>
            <w:pPr>
              <w:rPr>
                <w:rFonts w:ascii="宋体" w:hAnsi="宋体"/>
                <w:sz w:val="20"/>
                <w:szCs w:val="20"/>
                <w:highlight w:val="none"/>
              </w:rPr>
            </w:pPr>
            <w:r>
              <w:rPr>
                <w:rFonts w:hint="eastAsia" w:ascii="宋体" w:hAnsi="宋体"/>
                <w:sz w:val="20"/>
                <w:szCs w:val="20"/>
                <w:highlight w:val="none"/>
              </w:rPr>
              <w:t>2、至少400万像素，分辨率至少25fps时达2560×1440，焦距4mm</w:t>
            </w:r>
          </w:p>
          <w:p>
            <w:pPr>
              <w:rPr>
                <w:rFonts w:ascii="宋体" w:hAnsi="宋体"/>
                <w:sz w:val="20"/>
                <w:szCs w:val="20"/>
                <w:highlight w:val="none"/>
              </w:rPr>
            </w:pPr>
            <w:r>
              <w:rPr>
                <w:rFonts w:hint="eastAsia" w:ascii="宋体" w:hAnsi="宋体"/>
                <w:sz w:val="20"/>
                <w:szCs w:val="20"/>
                <w:highlight w:val="none"/>
              </w:rPr>
              <w:t>3、配置1个内置麦克风，1个内置扬声器，双向语音对讲</w:t>
            </w:r>
          </w:p>
          <w:p>
            <w:pPr>
              <w:rPr>
                <w:rFonts w:ascii="宋体" w:hAnsi="宋体"/>
                <w:sz w:val="20"/>
                <w:szCs w:val="20"/>
                <w:highlight w:val="none"/>
              </w:rPr>
            </w:pPr>
            <w:r>
              <w:rPr>
                <w:rFonts w:hint="eastAsia" w:ascii="宋体" w:hAnsi="宋体"/>
                <w:sz w:val="20"/>
                <w:szCs w:val="20"/>
                <w:highlight w:val="none"/>
              </w:rPr>
              <w:t>4、支持NAS（NFS，SMB/CIFS均支持），支持并配置256 GBTF卡</w:t>
            </w:r>
          </w:p>
          <w:p>
            <w:pPr>
              <w:rPr>
                <w:rFonts w:ascii="宋体" w:hAnsi="宋体"/>
                <w:sz w:val="20"/>
                <w:szCs w:val="20"/>
                <w:highlight w:val="none"/>
              </w:rPr>
            </w:pPr>
            <w:r>
              <w:rPr>
                <w:rFonts w:hint="eastAsia" w:ascii="宋体" w:hAnsi="宋体"/>
                <w:sz w:val="20"/>
                <w:szCs w:val="20"/>
                <w:highlight w:val="none"/>
              </w:rPr>
              <w:t>5、提供补光至少30米，</w:t>
            </w:r>
          </w:p>
          <w:p>
            <w:pPr>
              <w:rPr>
                <w:rFonts w:ascii="宋体" w:hAnsi="宋体"/>
                <w:sz w:val="20"/>
                <w:szCs w:val="20"/>
                <w:highlight w:val="none"/>
              </w:rPr>
            </w:pPr>
            <w:r>
              <w:rPr>
                <w:rFonts w:hint="eastAsia" w:ascii="宋体" w:hAnsi="宋体"/>
                <w:sz w:val="20"/>
                <w:szCs w:val="20"/>
                <w:highlight w:val="none"/>
              </w:rPr>
              <w:t>6、DC12V供电，支持4G+有线RJ45，IP66防护，支持定期复位</w:t>
            </w:r>
          </w:p>
          <w:p>
            <w:pPr>
              <w:rPr>
                <w:rFonts w:ascii="宋体" w:hAnsi="宋体"/>
                <w:sz w:val="20"/>
                <w:szCs w:val="20"/>
                <w:highlight w:val="none"/>
              </w:rPr>
            </w:pPr>
            <w:r>
              <w:rPr>
                <w:rFonts w:hint="eastAsia" w:ascii="宋体" w:hAnsi="宋体"/>
                <w:sz w:val="20"/>
                <w:szCs w:val="20"/>
                <w:highlight w:val="none"/>
              </w:rPr>
              <w:t>7、支持云台旋转，水平角度0～350度，垂直-10～110度，预置点不小于300个，实现360度无死角监控，移动侦测</w:t>
            </w:r>
          </w:p>
          <w:p>
            <w:pPr>
              <w:rPr>
                <w:rFonts w:ascii="宋体" w:hAnsi="宋体"/>
                <w:sz w:val="20"/>
                <w:szCs w:val="20"/>
                <w:highlight w:val="none"/>
              </w:rPr>
            </w:pPr>
            <w:r>
              <w:rPr>
                <w:rFonts w:hint="eastAsia" w:ascii="宋体" w:hAnsi="宋体"/>
                <w:sz w:val="20"/>
                <w:szCs w:val="20"/>
                <w:highlight w:val="none"/>
              </w:rPr>
              <w:t>8、支持DHCP协议，支持H.265视频压缩标准，支持RTSP流输出</w:t>
            </w:r>
          </w:p>
          <w:p>
            <w:pPr>
              <w:rPr>
                <w:rFonts w:ascii="宋体" w:hAnsi="宋体"/>
                <w:sz w:val="20"/>
                <w:szCs w:val="20"/>
                <w:highlight w:val="none"/>
              </w:rPr>
            </w:pPr>
            <w:r>
              <w:rPr>
                <w:rFonts w:hint="eastAsia" w:ascii="宋体" w:hAnsi="宋体"/>
                <w:sz w:val="20"/>
                <w:szCs w:val="20"/>
                <w:highlight w:val="none"/>
              </w:rPr>
              <w:t>9、支持手机端查看与双向对讲</w:t>
            </w:r>
          </w:p>
          <w:p>
            <w:pPr>
              <w:rPr>
                <w:rFonts w:ascii="宋体" w:hAnsi="宋体"/>
                <w:sz w:val="20"/>
                <w:szCs w:val="20"/>
                <w:highlight w:val="none"/>
              </w:rPr>
            </w:pPr>
            <w:r>
              <w:rPr>
                <w:rFonts w:hint="eastAsia" w:ascii="宋体" w:hAnsi="宋体"/>
                <w:sz w:val="20"/>
                <w:szCs w:val="20"/>
                <w:highlight w:val="none"/>
              </w:rPr>
              <w:t>10、配置安装支架及相关附件，根据用户要求现场安装并对接录像机</w:t>
            </w:r>
          </w:p>
          <w:p>
            <w:pPr>
              <w:rPr>
                <w:rFonts w:ascii="宋体" w:hAnsi="宋体"/>
                <w:sz w:val="20"/>
                <w:szCs w:val="20"/>
                <w:highlight w:val="none"/>
              </w:rPr>
            </w:pPr>
            <w:r>
              <w:rPr>
                <w:rFonts w:hint="eastAsia" w:ascii="宋体" w:hAnsi="宋体"/>
                <w:b/>
                <w:bCs/>
                <w:sz w:val="20"/>
                <w:szCs w:val="20"/>
                <w:highlight w:val="none"/>
              </w:rPr>
              <w:t>11、为实现门禁与摄像机统一管理与联动，要求与智能门禁同一品牌</w:t>
            </w:r>
            <w:r>
              <w:rPr>
                <w:rFonts w:hint="eastAsia" w:ascii="宋体" w:hAnsi="宋体"/>
                <w:b/>
                <w:bCs/>
                <w:sz w:val="20"/>
                <w:szCs w:val="20"/>
                <w:highlight w:val="none"/>
                <w:lang w:eastAsia="zh-CN"/>
              </w:rPr>
              <w:t>（</w:t>
            </w:r>
            <w:r>
              <w:rPr>
                <w:rFonts w:hint="eastAsia" w:ascii="宋体" w:hAnsi="宋体"/>
                <w:b/>
                <w:bCs/>
                <w:sz w:val="20"/>
                <w:szCs w:val="20"/>
                <w:highlight w:val="none"/>
                <w:lang w:val="en-US" w:eastAsia="zh-CN"/>
              </w:rPr>
              <w:t>如不为同品牌则作为无效响应处理</w:t>
            </w:r>
            <w:r>
              <w:rPr>
                <w:rFonts w:hint="eastAsia" w:ascii="宋体" w:hAnsi="宋体"/>
                <w:b/>
                <w:bCs/>
                <w:sz w:val="20"/>
                <w:szCs w:val="20"/>
                <w:highlight w:val="none"/>
                <w:lang w:eastAsia="zh-CN"/>
              </w:rPr>
              <w:t>）</w:t>
            </w:r>
          </w:p>
        </w:tc>
        <w:tc>
          <w:tcPr>
            <w:tcW w:w="536" w:type="dxa"/>
            <w:tcBorders>
              <w:top w:val="nil"/>
              <w:left w:val="nil"/>
              <w:bottom w:val="single" w:color="auto" w:sz="4" w:space="0"/>
              <w:right w:val="single" w:color="auto" w:sz="4" w:space="0"/>
            </w:tcBorders>
            <w:shd w:val="clear" w:color="auto" w:fill="FFFFFF"/>
            <w:vAlign w:val="center"/>
          </w:tcPr>
          <w:p>
            <w:pPr>
              <w:jc w:val="center"/>
              <w:rPr>
                <w:rFonts w:ascii="宋体" w:hAnsi="宋体"/>
                <w:sz w:val="20"/>
                <w:szCs w:val="20"/>
                <w:highlight w:val="none"/>
              </w:rPr>
            </w:pPr>
            <w:r>
              <w:rPr>
                <w:rFonts w:hint="eastAsia" w:ascii="宋体" w:hAnsi="宋体"/>
                <w:sz w:val="20"/>
                <w:szCs w:val="20"/>
                <w:highlight w:val="none"/>
              </w:rPr>
              <w:t>套</w:t>
            </w:r>
          </w:p>
        </w:tc>
        <w:tc>
          <w:tcPr>
            <w:tcW w:w="633" w:type="dxa"/>
            <w:tcBorders>
              <w:top w:val="nil"/>
              <w:left w:val="nil"/>
              <w:bottom w:val="single" w:color="auto" w:sz="4" w:space="0"/>
              <w:right w:val="single" w:color="auto" w:sz="4" w:space="0"/>
            </w:tcBorders>
            <w:shd w:val="clear" w:color="auto" w:fill="FFFFFF"/>
            <w:vAlign w:val="center"/>
          </w:tcPr>
          <w:p>
            <w:pPr>
              <w:jc w:val="center"/>
              <w:rPr>
                <w:rFonts w:ascii="宋体" w:hAnsi="宋体"/>
                <w:sz w:val="20"/>
                <w:szCs w:val="20"/>
                <w:highlight w:val="none"/>
              </w:rPr>
            </w:pPr>
            <w:r>
              <w:rPr>
                <w:rFonts w:ascii="宋体" w:hAnsi="宋体"/>
                <w:sz w:val="20"/>
                <w:szCs w:val="20"/>
                <w:highlight w:val="none"/>
              </w:rPr>
              <w:t>6</w:t>
            </w:r>
            <w:r>
              <w:rPr>
                <w:rFonts w:hint="eastAsia" w:ascii="宋体" w:hAnsi="宋体"/>
                <w:sz w:val="20"/>
                <w:szCs w:val="20"/>
                <w:highlight w:val="none"/>
              </w:rPr>
              <w:t>5</w:t>
            </w:r>
          </w:p>
        </w:tc>
      </w:tr>
      <w:tr>
        <w:tblPrEx>
          <w:tblCellMar>
            <w:top w:w="0" w:type="dxa"/>
            <w:left w:w="108" w:type="dxa"/>
            <w:bottom w:w="0" w:type="dxa"/>
            <w:right w:w="108" w:type="dxa"/>
          </w:tblCellMar>
        </w:tblPrEx>
        <w:trPr>
          <w:trHeight w:val="1266" w:hRule="atLeast"/>
        </w:trPr>
        <w:tc>
          <w:tcPr>
            <w:tcW w:w="536" w:type="dxa"/>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sz w:val="20"/>
                <w:szCs w:val="20"/>
                <w:highlight w:val="none"/>
              </w:rPr>
            </w:pPr>
            <w:r>
              <w:rPr>
                <w:rFonts w:hint="eastAsia" w:ascii="宋体" w:hAnsi="宋体"/>
                <w:sz w:val="20"/>
                <w:szCs w:val="20"/>
                <w:highlight w:val="none"/>
              </w:rPr>
              <w:t>8</w:t>
            </w:r>
          </w:p>
        </w:tc>
        <w:tc>
          <w:tcPr>
            <w:tcW w:w="1076" w:type="dxa"/>
            <w:tcBorders>
              <w:top w:val="nil"/>
              <w:left w:val="nil"/>
              <w:bottom w:val="single" w:color="auto" w:sz="4" w:space="0"/>
              <w:right w:val="single" w:color="auto" w:sz="4" w:space="0"/>
            </w:tcBorders>
            <w:shd w:val="clear" w:color="auto" w:fill="FFFFFF"/>
            <w:vAlign w:val="center"/>
          </w:tcPr>
          <w:p>
            <w:pPr>
              <w:jc w:val="center"/>
              <w:rPr>
                <w:rFonts w:ascii="宋体" w:hAnsi="宋体"/>
                <w:sz w:val="20"/>
                <w:szCs w:val="20"/>
                <w:highlight w:val="none"/>
              </w:rPr>
            </w:pPr>
            <w:r>
              <w:rPr>
                <w:rFonts w:hint="eastAsia" w:ascii="宋体" w:hAnsi="宋体"/>
                <w:sz w:val="20"/>
                <w:szCs w:val="20"/>
                <w:highlight w:val="none"/>
              </w:rPr>
              <w:t>智能录像机</w:t>
            </w:r>
          </w:p>
        </w:tc>
        <w:tc>
          <w:tcPr>
            <w:tcW w:w="6209" w:type="dxa"/>
            <w:tcBorders>
              <w:top w:val="nil"/>
              <w:left w:val="nil"/>
              <w:bottom w:val="single" w:color="auto" w:sz="4" w:space="0"/>
              <w:right w:val="single" w:color="auto" w:sz="4" w:space="0"/>
            </w:tcBorders>
            <w:shd w:val="clear" w:color="auto" w:fill="FFFFFF"/>
            <w:vAlign w:val="center"/>
          </w:tcPr>
          <w:p>
            <w:pPr>
              <w:rPr>
                <w:rFonts w:ascii="宋体" w:hAnsi="宋体" w:eastAsia="宋体"/>
                <w:sz w:val="20"/>
                <w:szCs w:val="20"/>
                <w:highlight w:val="none"/>
              </w:rPr>
            </w:pPr>
            <w:r>
              <w:rPr>
                <w:rFonts w:hint="eastAsia" w:ascii="宋体" w:hAnsi="宋体" w:eastAsia="宋体"/>
                <w:sz w:val="20"/>
                <w:szCs w:val="20"/>
                <w:highlight w:val="none"/>
              </w:rPr>
              <w:t>1、可接驳符合ONVIF、RTSP标准的网络摄像机</w:t>
            </w:r>
          </w:p>
          <w:p>
            <w:pPr>
              <w:rPr>
                <w:rFonts w:ascii="宋体" w:hAnsi="宋体" w:eastAsia="宋体"/>
                <w:sz w:val="20"/>
                <w:szCs w:val="20"/>
                <w:highlight w:val="none"/>
              </w:rPr>
            </w:pPr>
            <w:r>
              <w:rPr>
                <w:rFonts w:hint="eastAsia" w:ascii="宋体" w:hAnsi="宋体" w:eastAsia="宋体"/>
                <w:sz w:val="20"/>
                <w:szCs w:val="20"/>
                <w:highlight w:val="none"/>
              </w:rPr>
              <w:t>2、支持H265、H264编码前端自适应接入</w:t>
            </w:r>
          </w:p>
          <w:p>
            <w:pPr>
              <w:rPr>
                <w:rFonts w:ascii="宋体" w:hAnsi="宋体" w:eastAsia="宋体"/>
                <w:sz w:val="20"/>
                <w:szCs w:val="20"/>
                <w:highlight w:val="none"/>
              </w:rPr>
            </w:pPr>
            <w:r>
              <w:rPr>
                <w:rFonts w:hint="eastAsia" w:ascii="宋体" w:hAnsi="宋体" w:eastAsia="宋体"/>
                <w:sz w:val="20"/>
                <w:szCs w:val="20"/>
                <w:highlight w:val="none"/>
              </w:rPr>
              <w:t>3、支持GB28181协议</w:t>
            </w:r>
          </w:p>
          <w:p>
            <w:pPr>
              <w:rPr>
                <w:rFonts w:ascii="宋体" w:hAnsi="宋体" w:eastAsia="宋体"/>
                <w:sz w:val="20"/>
                <w:szCs w:val="20"/>
                <w:highlight w:val="none"/>
              </w:rPr>
            </w:pPr>
            <w:r>
              <w:rPr>
                <w:rFonts w:hint="eastAsia" w:ascii="宋体" w:hAnsi="宋体" w:eastAsia="宋体"/>
                <w:sz w:val="20"/>
                <w:szCs w:val="20"/>
                <w:highlight w:val="none"/>
              </w:rPr>
              <w:t>4、支持至少16个SATA接口，支持RAID6和支持全局热备，支持硬盘健康状态监测，可用于录像和备份，本次配置16块8TB硬盘</w:t>
            </w:r>
          </w:p>
          <w:p>
            <w:pPr>
              <w:rPr>
                <w:rFonts w:ascii="宋体" w:hAnsi="宋体" w:eastAsia="宋体"/>
                <w:sz w:val="20"/>
                <w:szCs w:val="20"/>
                <w:highlight w:val="none"/>
              </w:rPr>
            </w:pPr>
            <w:r>
              <w:rPr>
                <w:rFonts w:hint="eastAsia" w:ascii="宋体" w:hAnsi="宋体" w:eastAsia="宋体"/>
                <w:sz w:val="20"/>
                <w:szCs w:val="20"/>
                <w:highlight w:val="none"/>
              </w:rPr>
              <w:t>5、支持IPC集中管理，包括IPC参数配置、信息的导入/导出、语音对讲和升级等功能</w:t>
            </w:r>
          </w:p>
          <w:p>
            <w:pPr>
              <w:rPr>
                <w:rFonts w:ascii="宋体" w:hAnsi="宋体" w:eastAsia="宋体"/>
                <w:sz w:val="20"/>
                <w:szCs w:val="20"/>
                <w:highlight w:val="none"/>
              </w:rPr>
            </w:pPr>
            <w:r>
              <w:rPr>
                <w:rFonts w:hint="eastAsia" w:ascii="宋体" w:hAnsi="宋体" w:eastAsia="宋体"/>
                <w:sz w:val="20"/>
                <w:szCs w:val="20"/>
                <w:highlight w:val="none"/>
              </w:rPr>
              <w:t>6、配置四个千兆网卡，支持网络容错和多址设定应用支持网络检测(网络流量监控、网络抓包、网络通畅)功能</w:t>
            </w:r>
          </w:p>
          <w:p>
            <w:pPr>
              <w:rPr>
                <w:rFonts w:ascii="宋体" w:hAnsi="宋体" w:eastAsia="宋体"/>
                <w:sz w:val="20"/>
                <w:szCs w:val="20"/>
                <w:highlight w:val="none"/>
              </w:rPr>
            </w:pPr>
            <w:r>
              <w:rPr>
                <w:rFonts w:hint="eastAsia" w:ascii="宋体" w:hAnsi="宋体" w:eastAsia="宋体"/>
                <w:sz w:val="20"/>
                <w:szCs w:val="20"/>
                <w:highlight w:val="none"/>
              </w:rPr>
              <w:t>7、支持4K高清网络视频的预览、存储与回放支持同屏预览，可实现监控画面与报警信息同屏显示，支持可视化文件管理，可秒级查看历史录像文件、图片文件并支持人流量统计</w:t>
            </w:r>
          </w:p>
          <w:p>
            <w:pPr>
              <w:rPr>
                <w:rFonts w:ascii="宋体" w:hAnsi="宋体" w:eastAsia="宋体"/>
                <w:sz w:val="20"/>
                <w:szCs w:val="20"/>
                <w:highlight w:val="none"/>
              </w:rPr>
            </w:pPr>
            <w:r>
              <w:rPr>
                <w:rFonts w:hint="eastAsia" w:ascii="宋体" w:hAnsi="宋体" w:eastAsia="宋体"/>
                <w:sz w:val="20"/>
                <w:szCs w:val="20"/>
                <w:highlight w:val="none"/>
              </w:rPr>
              <w:t>8、配置智能识别功能，支持人脸检索功能，可按事件、姓名检索人脸，支持以脸搜脸，并关联录像回放，支持人脸签到功能，支持导出签到表或考勤表，支持人体检索功能，可按属性检索人体图片，支持以人搜人，并关联录像回放，支持视频实时视频结构化，可对人体进行实时结构化分析，支持行为分析功能，可对人员行为进行检测报警。</w:t>
            </w:r>
          </w:p>
          <w:p>
            <w:pPr>
              <w:rPr>
                <w:rFonts w:ascii="宋体" w:hAnsi="宋体" w:eastAsia="宋体"/>
                <w:sz w:val="20"/>
                <w:szCs w:val="20"/>
                <w:highlight w:val="none"/>
              </w:rPr>
            </w:pPr>
            <w:r>
              <w:rPr>
                <w:rFonts w:hint="eastAsia" w:ascii="宋体" w:hAnsi="宋体" w:eastAsia="宋体"/>
                <w:sz w:val="20"/>
                <w:szCs w:val="20"/>
                <w:highlight w:val="none"/>
              </w:rPr>
              <w:t>9、至少支持96路视频流或支持 128 路图片流人脸识别，人脸库建模速度不低于500张/秒</w:t>
            </w:r>
            <w:r>
              <w:rPr>
                <w:rFonts w:ascii="宋体" w:hAnsi="宋体" w:eastAsia="宋体"/>
                <w:b/>
                <w:bCs/>
                <w:sz w:val="20"/>
                <w:szCs w:val="20"/>
                <w:highlight w:val="none"/>
              </w:rPr>
              <w:t>（</w:t>
            </w:r>
            <w:r>
              <w:rPr>
                <w:rFonts w:hint="eastAsia" w:ascii="宋体" w:hAnsi="宋体" w:eastAsia="宋体"/>
                <w:b/>
                <w:bCs/>
                <w:sz w:val="20"/>
                <w:szCs w:val="20"/>
                <w:highlight w:val="none"/>
              </w:rPr>
              <w:t>提供具备检测资质的权威第三方检测机构出具的检测报告</w:t>
            </w:r>
            <w:r>
              <w:rPr>
                <w:rFonts w:ascii="宋体" w:hAnsi="宋体" w:eastAsia="宋体"/>
                <w:b/>
                <w:bCs/>
                <w:sz w:val="20"/>
                <w:szCs w:val="20"/>
                <w:highlight w:val="none"/>
              </w:rPr>
              <w:t>）</w:t>
            </w:r>
          </w:p>
          <w:p>
            <w:pPr>
              <w:rPr>
                <w:rFonts w:ascii="宋体" w:hAnsi="宋体" w:eastAsia="宋体"/>
                <w:sz w:val="20"/>
                <w:szCs w:val="20"/>
                <w:highlight w:val="none"/>
              </w:rPr>
            </w:pPr>
            <w:r>
              <w:rPr>
                <w:rFonts w:ascii="宋体" w:hAnsi="宋体" w:eastAsia="宋体"/>
                <w:sz w:val="20"/>
                <w:szCs w:val="20"/>
                <w:highlight w:val="none"/>
              </w:rPr>
              <w:t>10</w:t>
            </w:r>
            <w:r>
              <w:rPr>
                <w:rFonts w:hint="eastAsia" w:ascii="宋体" w:hAnsi="宋体" w:eastAsia="宋体"/>
                <w:sz w:val="20"/>
                <w:szCs w:val="20"/>
                <w:highlight w:val="none"/>
              </w:rPr>
              <w:t>、至少支持128个人脸库，满足库容100万张人脸图片</w:t>
            </w:r>
            <w:r>
              <w:rPr>
                <w:rFonts w:ascii="宋体" w:hAnsi="宋体" w:eastAsia="宋体"/>
                <w:b/>
                <w:bCs/>
                <w:sz w:val="20"/>
                <w:szCs w:val="20"/>
                <w:highlight w:val="none"/>
              </w:rPr>
              <w:t>（</w:t>
            </w:r>
            <w:r>
              <w:rPr>
                <w:rFonts w:hint="eastAsia" w:ascii="宋体" w:hAnsi="宋体" w:eastAsia="宋体"/>
                <w:b/>
                <w:bCs/>
                <w:sz w:val="20"/>
                <w:szCs w:val="20"/>
                <w:highlight w:val="none"/>
              </w:rPr>
              <w:t>提供具备检测资质的权威第三方检测机构出具的检测报告</w:t>
            </w:r>
            <w:r>
              <w:rPr>
                <w:rFonts w:ascii="宋体" w:hAnsi="宋体" w:eastAsia="宋体"/>
                <w:b/>
                <w:bCs/>
                <w:sz w:val="20"/>
                <w:szCs w:val="20"/>
                <w:highlight w:val="none"/>
              </w:rPr>
              <w:t>）</w:t>
            </w:r>
          </w:p>
          <w:p>
            <w:pPr>
              <w:rPr>
                <w:rFonts w:hint="eastAsia" w:ascii="宋体" w:hAnsi="宋体" w:eastAsiaTheme="minorEastAsia"/>
                <w:b/>
                <w:bCs/>
                <w:sz w:val="20"/>
                <w:szCs w:val="20"/>
                <w:highlight w:val="none"/>
                <w:lang w:eastAsia="zh-CN"/>
              </w:rPr>
            </w:pPr>
            <w:r>
              <w:rPr>
                <w:rFonts w:ascii="宋体" w:hAnsi="宋体" w:eastAsia="宋体"/>
                <w:b/>
                <w:bCs/>
                <w:sz w:val="20"/>
                <w:szCs w:val="20"/>
                <w:highlight w:val="none"/>
              </w:rPr>
              <w:t>12</w:t>
            </w:r>
            <w:r>
              <w:rPr>
                <w:rFonts w:hint="eastAsia" w:ascii="宋体" w:hAnsi="宋体" w:eastAsia="宋体"/>
                <w:b/>
                <w:bCs/>
                <w:sz w:val="20"/>
                <w:szCs w:val="20"/>
                <w:highlight w:val="none"/>
              </w:rPr>
              <w:t>、</w:t>
            </w:r>
            <w:r>
              <w:rPr>
                <w:rFonts w:hint="eastAsia" w:ascii="宋体" w:hAnsi="宋体"/>
                <w:b/>
                <w:bCs/>
                <w:sz w:val="20"/>
                <w:szCs w:val="20"/>
                <w:highlight w:val="none"/>
              </w:rPr>
              <w:t>为实现门禁与摄像机统一管理与联动，要求与智能门禁同一品牌</w:t>
            </w:r>
            <w:r>
              <w:rPr>
                <w:rFonts w:hint="eastAsia" w:ascii="宋体" w:hAnsi="宋体"/>
                <w:b/>
                <w:bCs/>
                <w:sz w:val="20"/>
                <w:szCs w:val="20"/>
                <w:highlight w:val="none"/>
                <w:lang w:eastAsia="zh-CN"/>
              </w:rPr>
              <w:t>（</w:t>
            </w:r>
            <w:r>
              <w:rPr>
                <w:rFonts w:hint="eastAsia" w:ascii="宋体" w:hAnsi="宋体"/>
                <w:b/>
                <w:bCs/>
                <w:sz w:val="20"/>
                <w:szCs w:val="20"/>
                <w:highlight w:val="none"/>
                <w:lang w:val="en-US" w:eastAsia="zh-CN"/>
              </w:rPr>
              <w:t>如不为同品牌则作为无效响应处理</w:t>
            </w:r>
            <w:r>
              <w:rPr>
                <w:rFonts w:hint="eastAsia" w:ascii="宋体" w:hAnsi="宋体"/>
                <w:b/>
                <w:bCs/>
                <w:sz w:val="20"/>
                <w:szCs w:val="20"/>
                <w:highlight w:val="none"/>
                <w:lang w:eastAsia="zh-CN"/>
              </w:rPr>
              <w:t>）</w:t>
            </w:r>
          </w:p>
          <w:p>
            <w:pPr>
              <w:rPr>
                <w:highlight w:val="none"/>
              </w:rPr>
            </w:pPr>
            <w:r>
              <w:rPr>
                <w:rFonts w:ascii="宋体" w:hAnsi="宋体" w:eastAsia="宋体"/>
                <w:b/>
                <w:bCs/>
                <w:sz w:val="20"/>
                <w:szCs w:val="20"/>
                <w:highlight w:val="none"/>
              </w:rPr>
              <w:t>13</w:t>
            </w:r>
            <w:r>
              <w:rPr>
                <w:rFonts w:hint="eastAsia" w:ascii="宋体" w:hAnsi="宋体" w:eastAsia="宋体"/>
                <w:b/>
                <w:bCs/>
                <w:sz w:val="20"/>
                <w:szCs w:val="20"/>
                <w:highlight w:val="none"/>
              </w:rPr>
              <w:t>、供应商需承诺：签订合同时提供原厂三年质保函。投标文件中需提供承诺函加盖公章</w:t>
            </w:r>
            <w:r>
              <w:rPr>
                <w:rFonts w:ascii="宋体" w:hAnsi="宋体" w:eastAsia="宋体"/>
                <w:b/>
                <w:bCs/>
                <w:sz w:val="20"/>
                <w:szCs w:val="20"/>
                <w:highlight w:val="none"/>
              </w:rPr>
              <w:t>。</w:t>
            </w:r>
          </w:p>
        </w:tc>
        <w:tc>
          <w:tcPr>
            <w:tcW w:w="536" w:type="dxa"/>
            <w:tcBorders>
              <w:top w:val="nil"/>
              <w:left w:val="nil"/>
              <w:bottom w:val="single" w:color="auto" w:sz="4" w:space="0"/>
              <w:right w:val="single" w:color="auto" w:sz="4" w:space="0"/>
            </w:tcBorders>
            <w:shd w:val="clear" w:color="auto" w:fill="FFFFFF"/>
            <w:vAlign w:val="center"/>
          </w:tcPr>
          <w:p>
            <w:pPr>
              <w:jc w:val="center"/>
              <w:rPr>
                <w:rFonts w:ascii="宋体" w:hAnsi="宋体"/>
                <w:sz w:val="20"/>
                <w:szCs w:val="20"/>
                <w:highlight w:val="none"/>
              </w:rPr>
            </w:pPr>
            <w:r>
              <w:rPr>
                <w:rFonts w:hint="eastAsia" w:ascii="宋体" w:hAnsi="宋体"/>
                <w:sz w:val="20"/>
                <w:szCs w:val="20"/>
                <w:highlight w:val="none"/>
              </w:rPr>
              <w:t>台</w:t>
            </w:r>
          </w:p>
        </w:tc>
        <w:tc>
          <w:tcPr>
            <w:tcW w:w="633" w:type="dxa"/>
            <w:tcBorders>
              <w:top w:val="nil"/>
              <w:left w:val="nil"/>
              <w:bottom w:val="single" w:color="auto" w:sz="4" w:space="0"/>
              <w:right w:val="single" w:color="auto" w:sz="4" w:space="0"/>
            </w:tcBorders>
            <w:shd w:val="clear" w:color="auto" w:fill="FFFFFF"/>
            <w:vAlign w:val="center"/>
          </w:tcPr>
          <w:p>
            <w:pPr>
              <w:jc w:val="center"/>
              <w:rPr>
                <w:rFonts w:ascii="宋体" w:hAnsi="宋体"/>
                <w:sz w:val="20"/>
                <w:szCs w:val="20"/>
                <w:highlight w:val="none"/>
              </w:rPr>
            </w:pPr>
            <w:r>
              <w:rPr>
                <w:rFonts w:hint="eastAsia" w:ascii="宋体" w:hAnsi="宋体"/>
                <w:sz w:val="20"/>
                <w:szCs w:val="20"/>
                <w:highlight w:val="none"/>
              </w:rPr>
              <w:t>1</w:t>
            </w:r>
          </w:p>
        </w:tc>
      </w:tr>
      <w:tr>
        <w:tblPrEx>
          <w:tblCellMar>
            <w:top w:w="0" w:type="dxa"/>
            <w:left w:w="108" w:type="dxa"/>
            <w:bottom w:w="0" w:type="dxa"/>
            <w:right w:w="108" w:type="dxa"/>
          </w:tblCellMar>
        </w:tblPrEx>
        <w:trPr>
          <w:trHeight w:val="307" w:hRule="atLeast"/>
        </w:trPr>
        <w:tc>
          <w:tcPr>
            <w:tcW w:w="536" w:type="dxa"/>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sz w:val="20"/>
                <w:szCs w:val="20"/>
                <w:highlight w:val="none"/>
              </w:rPr>
            </w:pPr>
            <w:r>
              <w:rPr>
                <w:rFonts w:hint="eastAsia" w:ascii="宋体" w:hAnsi="宋体"/>
                <w:sz w:val="20"/>
                <w:szCs w:val="20"/>
                <w:highlight w:val="none"/>
              </w:rPr>
              <w:t>9</w:t>
            </w:r>
          </w:p>
        </w:tc>
        <w:tc>
          <w:tcPr>
            <w:tcW w:w="1076" w:type="dxa"/>
            <w:tcBorders>
              <w:top w:val="nil"/>
              <w:left w:val="nil"/>
              <w:bottom w:val="single" w:color="auto" w:sz="4" w:space="0"/>
              <w:right w:val="single" w:color="auto" w:sz="4" w:space="0"/>
            </w:tcBorders>
            <w:shd w:val="clear" w:color="auto" w:fill="FFFFFF"/>
            <w:vAlign w:val="center"/>
          </w:tcPr>
          <w:p>
            <w:pPr>
              <w:jc w:val="center"/>
              <w:rPr>
                <w:rFonts w:ascii="宋体" w:hAnsi="宋体"/>
                <w:sz w:val="20"/>
                <w:szCs w:val="20"/>
                <w:highlight w:val="none"/>
              </w:rPr>
            </w:pPr>
            <w:r>
              <w:rPr>
                <w:rFonts w:hint="eastAsia" w:ascii="宋体" w:hAnsi="宋体"/>
                <w:sz w:val="20"/>
                <w:szCs w:val="20"/>
                <w:highlight w:val="none"/>
              </w:rPr>
              <w:t>操作台</w:t>
            </w:r>
          </w:p>
        </w:tc>
        <w:tc>
          <w:tcPr>
            <w:tcW w:w="6209" w:type="dxa"/>
            <w:tcBorders>
              <w:top w:val="nil"/>
              <w:left w:val="nil"/>
              <w:bottom w:val="single" w:color="auto" w:sz="4" w:space="0"/>
              <w:right w:val="single" w:color="auto" w:sz="4" w:space="0"/>
            </w:tcBorders>
            <w:shd w:val="clear" w:color="auto" w:fill="FFFFFF"/>
            <w:vAlign w:val="center"/>
          </w:tcPr>
          <w:p>
            <w:pPr>
              <w:rPr>
                <w:rFonts w:ascii="宋体" w:hAnsi="宋体"/>
                <w:sz w:val="20"/>
                <w:szCs w:val="20"/>
                <w:highlight w:val="none"/>
              </w:rPr>
            </w:pPr>
            <w:r>
              <w:rPr>
                <w:rFonts w:hint="eastAsia" w:ascii="宋体" w:hAnsi="宋体"/>
                <w:sz w:val="20"/>
                <w:szCs w:val="20"/>
                <w:highlight w:val="none"/>
              </w:rPr>
              <w:t>1、操作台采用拼装结构，整体钢木结合，烤漆处理。整体采用1.5毫米优质冷轧钢板结合制作。</w:t>
            </w:r>
          </w:p>
          <w:p>
            <w:pPr>
              <w:rPr>
                <w:rFonts w:ascii="宋体" w:hAnsi="宋体"/>
                <w:sz w:val="20"/>
                <w:szCs w:val="20"/>
                <w:highlight w:val="none"/>
              </w:rPr>
            </w:pPr>
            <w:r>
              <w:rPr>
                <w:rFonts w:hint="eastAsia" w:ascii="宋体" w:hAnsi="宋体"/>
                <w:sz w:val="20"/>
                <w:szCs w:val="20"/>
                <w:highlight w:val="none"/>
              </w:rPr>
              <w:t>2、操作台台面预留50mm过线孔,台面E1级环保板加聚氨酯手枕边，侧板喷漆处理。</w:t>
            </w:r>
          </w:p>
          <w:p>
            <w:pPr>
              <w:rPr>
                <w:rFonts w:ascii="宋体" w:hAnsi="宋体"/>
                <w:sz w:val="20"/>
                <w:szCs w:val="20"/>
                <w:highlight w:val="none"/>
              </w:rPr>
            </w:pPr>
            <w:r>
              <w:rPr>
                <w:rFonts w:hint="eastAsia" w:ascii="宋体" w:hAnsi="宋体"/>
                <w:sz w:val="20"/>
                <w:szCs w:val="20"/>
                <w:highlight w:val="none"/>
              </w:rPr>
              <w:t>3、操作台门开启方式，带可以上下调节拆卸式托盘，以便放置工控机，电源放大器，控制器，主机等设备。</w:t>
            </w:r>
          </w:p>
          <w:p>
            <w:pPr>
              <w:rPr>
                <w:rFonts w:ascii="宋体" w:hAnsi="宋体"/>
                <w:sz w:val="20"/>
                <w:szCs w:val="20"/>
                <w:highlight w:val="none"/>
              </w:rPr>
            </w:pPr>
            <w:r>
              <w:rPr>
                <w:rFonts w:hint="eastAsia" w:ascii="宋体" w:hAnsi="宋体"/>
                <w:sz w:val="20"/>
                <w:szCs w:val="20"/>
                <w:highlight w:val="none"/>
              </w:rPr>
              <w:t>4、每个操作台，台面下配有键盘托盘，前门冲风孔，后门冲有散热孔以便散热，前门左，右开起，后门做可脱落式，方便使用。</w:t>
            </w:r>
          </w:p>
          <w:p>
            <w:pPr>
              <w:rPr>
                <w:rFonts w:ascii="宋体" w:hAnsi="宋体"/>
                <w:sz w:val="20"/>
                <w:szCs w:val="20"/>
                <w:highlight w:val="none"/>
              </w:rPr>
            </w:pPr>
            <w:r>
              <w:rPr>
                <w:rFonts w:hint="eastAsia" w:ascii="宋体" w:hAnsi="宋体"/>
                <w:sz w:val="20"/>
                <w:szCs w:val="20"/>
                <w:highlight w:val="none"/>
              </w:rPr>
              <w:t>5、可按客户要求定做规格及样式</w:t>
            </w:r>
          </w:p>
          <w:p>
            <w:pPr>
              <w:rPr>
                <w:rFonts w:ascii="宋体" w:hAnsi="宋体"/>
                <w:sz w:val="20"/>
                <w:szCs w:val="20"/>
                <w:highlight w:val="none"/>
              </w:rPr>
            </w:pPr>
            <w:r>
              <w:rPr>
                <w:rFonts w:ascii="宋体" w:hAnsi="宋体"/>
                <w:sz w:val="20"/>
                <w:szCs w:val="20"/>
                <w:highlight w:val="none"/>
              </w:rPr>
              <w:t>6</w:t>
            </w:r>
            <w:r>
              <w:rPr>
                <w:rFonts w:hint="eastAsia" w:ascii="宋体" w:hAnsi="宋体"/>
                <w:sz w:val="20"/>
                <w:szCs w:val="20"/>
                <w:highlight w:val="none"/>
              </w:rPr>
              <w:t>、4000*900*950 mm</w:t>
            </w:r>
          </w:p>
          <w:p>
            <w:pPr>
              <w:rPr>
                <w:rFonts w:ascii="宋体" w:hAnsi="宋体"/>
                <w:sz w:val="20"/>
                <w:szCs w:val="20"/>
                <w:highlight w:val="none"/>
              </w:rPr>
            </w:pPr>
            <w:r>
              <w:rPr>
                <w:sz w:val="20"/>
                <w:szCs w:val="20"/>
                <w:highlight w:val="none"/>
              </w:rPr>
              <w:t>7</w:t>
            </w:r>
            <w:r>
              <w:rPr>
                <w:rFonts w:hint="eastAsia"/>
                <w:sz w:val="20"/>
                <w:szCs w:val="20"/>
                <w:highlight w:val="none"/>
              </w:rPr>
              <w:t>、</w:t>
            </w:r>
            <w:r>
              <w:rPr>
                <w:rFonts w:ascii="宋体" w:hAnsi="宋体"/>
                <w:sz w:val="20"/>
                <w:szCs w:val="20"/>
                <w:highlight w:val="none"/>
              </w:rPr>
              <w:t>4</w:t>
            </w:r>
            <w:r>
              <w:rPr>
                <w:rFonts w:hint="eastAsia" w:ascii="宋体" w:hAnsi="宋体"/>
                <w:sz w:val="20"/>
                <w:szCs w:val="20"/>
                <w:highlight w:val="none"/>
              </w:rPr>
              <w:t>张配套椅子</w:t>
            </w:r>
          </w:p>
          <w:p>
            <w:pPr>
              <w:numPr>
                <w:ilvl w:val="0"/>
                <w:numId w:val="1"/>
              </w:numPr>
              <w:rPr>
                <w:rFonts w:hint="eastAsia" w:ascii="宋体" w:hAnsi="宋体"/>
                <w:sz w:val="20"/>
                <w:szCs w:val="20"/>
                <w:highlight w:val="none"/>
              </w:rPr>
            </w:pPr>
            <w:r>
              <w:rPr>
                <w:rFonts w:hint="eastAsia" w:ascii="宋体" w:hAnsi="宋体"/>
                <w:sz w:val="20"/>
                <w:szCs w:val="20"/>
                <w:highlight w:val="none"/>
              </w:rPr>
              <w:t>配置1台</w:t>
            </w:r>
            <w:r>
              <w:rPr>
                <w:rFonts w:ascii="宋体" w:hAnsi="宋体"/>
                <w:sz w:val="20"/>
                <w:szCs w:val="20"/>
                <w:highlight w:val="none"/>
              </w:rPr>
              <w:t>86英寸</w:t>
            </w:r>
            <w:r>
              <w:rPr>
                <w:rFonts w:hint="eastAsia" w:ascii="宋体" w:hAnsi="宋体"/>
                <w:sz w:val="20"/>
                <w:szCs w:val="20"/>
                <w:highlight w:val="none"/>
              </w:rPr>
              <w:t>安卓电视，显示参数：分辨率：至少</w:t>
            </w:r>
            <w:r>
              <w:rPr>
                <w:rFonts w:ascii="宋体" w:hAnsi="宋体"/>
                <w:sz w:val="20"/>
                <w:szCs w:val="20"/>
                <w:highlight w:val="none"/>
              </w:rPr>
              <w:t>3840×2160，刷新率：至少120Hz，支持VRR 48-120Hz，背光：直下式，广色域：DCI-P3 94%，可视角度：至少178°，运动补偿不大于4ms；</w:t>
            </w:r>
            <w:r>
              <w:rPr>
                <w:rFonts w:hint="eastAsia" w:ascii="宋体" w:hAnsi="宋体"/>
                <w:sz w:val="20"/>
                <w:szCs w:val="20"/>
                <w:highlight w:val="none"/>
              </w:rPr>
              <w:t>处理器和存储：</w:t>
            </w:r>
            <w:r>
              <w:rPr>
                <w:rFonts w:ascii="宋体" w:hAnsi="宋体"/>
                <w:sz w:val="20"/>
                <w:szCs w:val="20"/>
                <w:highlight w:val="none"/>
              </w:rPr>
              <w:t>CPU：至少Cortex A73 四核性能，带GPU，内存：至少4GB 闪存：至少64GB；</w:t>
            </w:r>
            <w:r>
              <w:rPr>
                <w:rFonts w:hint="eastAsia" w:ascii="宋体" w:hAnsi="宋体"/>
                <w:sz w:val="20"/>
                <w:szCs w:val="20"/>
                <w:highlight w:val="none"/>
              </w:rPr>
              <w:t>无线配置：</w:t>
            </w:r>
            <w:r>
              <w:rPr>
                <w:rFonts w:ascii="宋体" w:hAnsi="宋体"/>
                <w:sz w:val="20"/>
                <w:szCs w:val="20"/>
                <w:highlight w:val="none"/>
              </w:rPr>
              <w:t>WiFi：双频 2.4GHz/5GHz，支持红外,支持蓝牙 5.0；</w:t>
            </w:r>
            <w:r>
              <w:rPr>
                <w:rFonts w:hint="eastAsia" w:ascii="宋体" w:hAnsi="宋体"/>
                <w:sz w:val="20"/>
                <w:szCs w:val="20"/>
                <w:highlight w:val="none"/>
              </w:rPr>
              <w:t>接口及数量：</w:t>
            </w:r>
            <w:r>
              <w:rPr>
                <w:rFonts w:ascii="宋体" w:hAnsi="宋体"/>
                <w:sz w:val="20"/>
                <w:szCs w:val="20"/>
                <w:highlight w:val="none"/>
              </w:rPr>
              <w:t>HDMI：3个（至少含一个4K 120Hz），至少含一个AV，至少含一个ATV/DTMB，至少含一个以太网，至少含两个USB，至少含一个PDIF；</w:t>
            </w:r>
            <w:r>
              <w:rPr>
                <w:rFonts w:hint="eastAsia" w:ascii="宋体" w:hAnsi="宋体"/>
                <w:sz w:val="20"/>
                <w:szCs w:val="20"/>
                <w:highlight w:val="none"/>
              </w:rPr>
              <w:t>内置播放器：内置</w:t>
            </w:r>
            <w:r>
              <w:rPr>
                <w:rFonts w:ascii="宋体" w:hAnsi="宋体"/>
                <w:sz w:val="20"/>
                <w:szCs w:val="20"/>
                <w:highlight w:val="none"/>
              </w:rPr>
              <w:t xml:space="preserve"> Mi-Player 播放器，支持 FLV、MOV、AVI、MKV、TS、MP4 等；</w:t>
            </w:r>
            <w:r>
              <w:rPr>
                <w:rFonts w:hint="eastAsia" w:ascii="宋体" w:hAnsi="宋体"/>
                <w:sz w:val="20"/>
                <w:szCs w:val="20"/>
                <w:highlight w:val="none"/>
              </w:rPr>
              <w:t>视频解码：支持</w:t>
            </w:r>
            <w:r>
              <w:rPr>
                <w:rFonts w:ascii="宋体" w:hAnsi="宋体"/>
                <w:sz w:val="20"/>
                <w:szCs w:val="20"/>
                <w:highlight w:val="none"/>
              </w:rPr>
              <w:t>DOLBY VISION、HDR 10+、MPEG1/2、H.264、H.265等；</w:t>
            </w:r>
            <w:r>
              <w:rPr>
                <w:rFonts w:hint="eastAsia" w:ascii="宋体" w:hAnsi="宋体"/>
                <w:sz w:val="20"/>
                <w:szCs w:val="20"/>
                <w:highlight w:val="none"/>
              </w:rPr>
              <w:t>音频解码：</w:t>
            </w:r>
            <w:r>
              <w:rPr>
                <w:rFonts w:ascii="宋体" w:hAnsi="宋体"/>
                <w:sz w:val="20"/>
                <w:szCs w:val="20"/>
                <w:highlight w:val="none"/>
              </w:rPr>
              <w:t>DOLBY AUDIO、 DOLBY ATMOS、DTS- HD* 等音频解码方式；</w:t>
            </w:r>
            <w:r>
              <w:rPr>
                <w:rFonts w:hint="eastAsia" w:ascii="宋体" w:hAnsi="宋体"/>
                <w:sz w:val="20"/>
                <w:szCs w:val="20"/>
                <w:highlight w:val="none"/>
              </w:rPr>
              <w:t>扬声器：左右声道至少</w:t>
            </w:r>
            <w:r>
              <w:rPr>
                <w:rFonts w:ascii="宋体" w:hAnsi="宋体"/>
                <w:sz w:val="20"/>
                <w:szCs w:val="20"/>
                <w:highlight w:val="none"/>
              </w:rPr>
              <w:t>8单元，扬声器输入功率至少2*15瓦；</w:t>
            </w:r>
            <w:r>
              <w:rPr>
                <w:rFonts w:hint="eastAsia" w:ascii="宋体" w:hAnsi="宋体"/>
                <w:sz w:val="20"/>
                <w:szCs w:val="20"/>
                <w:highlight w:val="none"/>
              </w:rPr>
              <w:t>尺寸：至少</w:t>
            </w:r>
            <w:r>
              <w:rPr>
                <w:rFonts w:ascii="宋体" w:hAnsi="宋体"/>
                <w:sz w:val="20"/>
                <w:szCs w:val="20"/>
                <w:highlight w:val="none"/>
              </w:rPr>
              <w:t>82英寸；</w:t>
            </w:r>
            <w:r>
              <w:rPr>
                <w:rFonts w:hint="eastAsia" w:ascii="宋体" w:hAnsi="宋体"/>
                <w:sz w:val="20"/>
                <w:szCs w:val="20"/>
                <w:highlight w:val="none"/>
              </w:rPr>
              <w:t>安装方式：支持壁挂，并提供壁挂支架。</w:t>
            </w:r>
          </w:p>
          <w:p>
            <w:pPr>
              <w:numPr>
                <w:ilvl w:val="0"/>
                <w:numId w:val="1"/>
              </w:numPr>
              <w:rPr>
                <w:rFonts w:hint="eastAsia" w:ascii="宋体" w:hAnsi="宋体"/>
                <w:sz w:val="20"/>
                <w:szCs w:val="20"/>
                <w:highlight w:val="none"/>
              </w:rPr>
            </w:pPr>
            <w:r>
              <w:rPr>
                <w:rFonts w:hint="eastAsia" w:ascii="宋体" w:hAnsi="宋体" w:eastAsia="宋体"/>
                <w:b/>
                <w:bCs/>
                <w:sz w:val="20"/>
                <w:szCs w:val="20"/>
                <w:highlight w:val="none"/>
              </w:rPr>
              <w:t>供应商需承诺：签订合同时提供原厂三年质保函。投标文件中需提供承诺函加盖公章</w:t>
            </w:r>
            <w:r>
              <w:rPr>
                <w:rFonts w:ascii="宋体" w:hAnsi="宋体" w:eastAsia="宋体"/>
                <w:b/>
                <w:bCs/>
                <w:sz w:val="20"/>
                <w:szCs w:val="20"/>
                <w:highlight w:val="none"/>
              </w:rPr>
              <w:t>。</w:t>
            </w:r>
          </w:p>
        </w:tc>
        <w:tc>
          <w:tcPr>
            <w:tcW w:w="536" w:type="dxa"/>
            <w:tcBorders>
              <w:top w:val="nil"/>
              <w:left w:val="nil"/>
              <w:bottom w:val="single" w:color="auto" w:sz="4" w:space="0"/>
              <w:right w:val="single" w:color="auto" w:sz="4" w:space="0"/>
            </w:tcBorders>
            <w:shd w:val="clear" w:color="auto" w:fill="FFFFFF"/>
            <w:vAlign w:val="center"/>
          </w:tcPr>
          <w:p>
            <w:pPr>
              <w:jc w:val="center"/>
              <w:rPr>
                <w:rFonts w:ascii="宋体" w:hAnsi="宋体"/>
                <w:sz w:val="20"/>
                <w:szCs w:val="20"/>
                <w:highlight w:val="none"/>
              </w:rPr>
            </w:pPr>
            <w:r>
              <w:rPr>
                <w:rFonts w:hint="eastAsia" w:ascii="宋体" w:hAnsi="宋体"/>
                <w:sz w:val="20"/>
                <w:szCs w:val="20"/>
                <w:highlight w:val="none"/>
              </w:rPr>
              <w:t>套</w:t>
            </w:r>
          </w:p>
        </w:tc>
        <w:tc>
          <w:tcPr>
            <w:tcW w:w="633" w:type="dxa"/>
            <w:tcBorders>
              <w:top w:val="nil"/>
              <w:left w:val="nil"/>
              <w:bottom w:val="single" w:color="auto" w:sz="4" w:space="0"/>
              <w:right w:val="single" w:color="auto" w:sz="4" w:space="0"/>
            </w:tcBorders>
            <w:shd w:val="clear" w:color="auto" w:fill="FFFFFF"/>
            <w:vAlign w:val="center"/>
          </w:tcPr>
          <w:p>
            <w:pPr>
              <w:jc w:val="center"/>
              <w:rPr>
                <w:rFonts w:ascii="宋体" w:hAnsi="宋体"/>
                <w:sz w:val="20"/>
                <w:szCs w:val="20"/>
                <w:highlight w:val="none"/>
              </w:rPr>
            </w:pPr>
            <w:r>
              <w:rPr>
                <w:rFonts w:hint="eastAsia" w:ascii="宋体" w:hAnsi="宋体"/>
                <w:sz w:val="20"/>
                <w:szCs w:val="20"/>
                <w:highlight w:val="none"/>
              </w:rPr>
              <w:t>1</w:t>
            </w:r>
          </w:p>
        </w:tc>
      </w:tr>
      <w:tr>
        <w:tblPrEx>
          <w:tblCellMar>
            <w:top w:w="0" w:type="dxa"/>
            <w:left w:w="108" w:type="dxa"/>
            <w:bottom w:w="0" w:type="dxa"/>
            <w:right w:w="108" w:type="dxa"/>
          </w:tblCellMar>
        </w:tblPrEx>
        <w:trPr>
          <w:trHeight w:val="307" w:hRule="atLeast"/>
        </w:trPr>
        <w:tc>
          <w:tcPr>
            <w:tcW w:w="536" w:type="dxa"/>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sz w:val="20"/>
                <w:szCs w:val="20"/>
                <w:highlight w:val="none"/>
              </w:rPr>
            </w:pPr>
            <w:r>
              <w:rPr>
                <w:rFonts w:hint="eastAsia" w:ascii="宋体" w:hAnsi="宋体"/>
                <w:sz w:val="20"/>
                <w:szCs w:val="20"/>
                <w:highlight w:val="none"/>
              </w:rPr>
              <w:t>10</w:t>
            </w:r>
          </w:p>
        </w:tc>
        <w:tc>
          <w:tcPr>
            <w:tcW w:w="1076" w:type="dxa"/>
            <w:tcBorders>
              <w:top w:val="nil"/>
              <w:left w:val="nil"/>
              <w:bottom w:val="single" w:color="auto" w:sz="4" w:space="0"/>
              <w:right w:val="single" w:color="auto" w:sz="4" w:space="0"/>
            </w:tcBorders>
            <w:shd w:val="clear" w:color="auto" w:fill="FFFFFF"/>
            <w:vAlign w:val="center"/>
          </w:tcPr>
          <w:p>
            <w:pPr>
              <w:jc w:val="center"/>
              <w:rPr>
                <w:rFonts w:ascii="宋体" w:hAnsi="宋体"/>
                <w:sz w:val="20"/>
                <w:szCs w:val="20"/>
                <w:highlight w:val="none"/>
              </w:rPr>
            </w:pPr>
            <w:r>
              <w:rPr>
                <w:rFonts w:hint="eastAsia" w:ascii="宋体" w:hAnsi="宋体"/>
                <w:sz w:val="20"/>
                <w:szCs w:val="20"/>
                <w:highlight w:val="none"/>
              </w:rPr>
              <w:t>综合运维管理系统</w:t>
            </w:r>
          </w:p>
        </w:tc>
        <w:tc>
          <w:tcPr>
            <w:tcW w:w="6209" w:type="dxa"/>
            <w:tcBorders>
              <w:top w:val="nil"/>
              <w:left w:val="nil"/>
              <w:bottom w:val="single" w:color="auto" w:sz="4" w:space="0"/>
              <w:right w:val="single" w:color="auto" w:sz="4" w:space="0"/>
            </w:tcBorders>
            <w:shd w:val="clear" w:color="auto" w:fill="FFFFFF"/>
            <w:vAlign w:val="center"/>
          </w:tcPr>
          <w:p>
            <w:pPr>
              <w:rPr>
                <w:rFonts w:ascii="宋体" w:hAnsi="宋体" w:eastAsia="宋体"/>
                <w:sz w:val="20"/>
                <w:szCs w:val="20"/>
                <w:highlight w:val="none"/>
              </w:rPr>
            </w:pPr>
            <w:r>
              <w:rPr>
                <w:rFonts w:ascii="宋体" w:hAnsi="宋体" w:eastAsia="宋体"/>
                <w:sz w:val="20"/>
                <w:szCs w:val="20"/>
                <w:highlight w:val="none"/>
              </w:rPr>
              <w:t>1</w:t>
            </w:r>
            <w:r>
              <w:rPr>
                <w:rFonts w:hint="eastAsia" w:ascii="宋体" w:hAnsi="宋体" w:eastAsia="宋体"/>
                <w:sz w:val="20"/>
                <w:szCs w:val="20"/>
                <w:highlight w:val="none"/>
              </w:rPr>
              <w:t>、</w:t>
            </w:r>
            <w:r>
              <w:rPr>
                <w:rFonts w:ascii="宋体" w:hAnsi="宋体" w:eastAsia="宋体"/>
                <w:sz w:val="20"/>
                <w:szCs w:val="20"/>
                <w:highlight w:val="none"/>
              </w:rPr>
              <w:t>提供业务应用依赖的基础资源信息及基础服务能力，包括系统基础信息管理、地图应用服务、事件联动应用服务</w:t>
            </w:r>
            <w:r>
              <w:rPr>
                <w:rFonts w:hint="eastAsia" w:ascii="宋体" w:hAnsi="宋体" w:eastAsia="宋体"/>
                <w:sz w:val="20"/>
                <w:szCs w:val="20"/>
                <w:highlight w:val="none"/>
              </w:rPr>
              <w:t>，支持</w:t>
            </w:r>
            <w:r>
              <w:rPr>
                <w:rFonts w:ascii="宋体" w:hAnsi="宋体" w:eastAsia="宋体"/>
                <w:sz w:val="20"/>
                <w:szCs w:val="20"/>
                <w:highlight w:val="none"/>
              </w:rPr>
              <w:t>视频预览、录像回放、图片监控、视频上墙、视频事件，</w:t>
            </w:r>
            <w:r>
              <w:rPr>
                <w:rFonts w:hint="eastAsia" w:ascii="宋体" w:hAnsi="宋体" w:eastAsia="宋体"/>
                <w:sz w:val="20"/>
                <w:szCs w:val="20"/>
                <w:highlight w:val="none"/>
              </w:rPr>
              <w:t>提供</w:t>
            </w:r>
            <w:r>
              <w:rPr>
                <w:rFonts w:ascii="宋体" w:hAnsi="宋体" w:eastAsia="宋体"/>
                <w:sz w:val="20"/>
                <w:szCs w:val="20"/>
                <w:highlight w:val="none"/>
              </w:rPr>
              <w:t>SDK协议。</w:t>
            </w:r>
          </w:p>
          <w:p>
            <w:pPr>
              <w:rPr>
                <w:rFonts w:ascii="宋体" w:hAnsi="宋体" w:eastAsia="宋体"/>
                <w:sz w:val="20"/>
                <w:szCs w:val="20"/>
                <w:highlight w:val="none"/>
              </w:rPr>
            </w:pPr>
            <w:r>
              <w:rPr>
                <w:rFonts w:ascii="宋体" w:hAnsi="宋体" w:eastAsia="宋体"/>
                <w:sz w:val="20"/>
                <w:szCs w:val="20"/>
                <w:highlight w:val="none"/>
              </w:rPr>
              <w:t>2</w:t>
            </w:r>
            <w:r>
              <w:rPr>
                <w:rFonts w:hint="eastAsia" w:ascii="宋体" w:hAnsi="宋体" w:eastAsia="宋体"/>
                <w:sz w:val="20"/>
                <w:szCs w:val="20"/>
                <w:highlight w:val="none"/>
              </w:rPr>
              <w:t>、</w:t>
            </w:r>
            <w:r>
              <w:rPr>
                <w:rFonts w:ascii="宋体" w:hAnsi="宋体" w:eastAsia="宋体"/>
                <w:sz w:val="20"/>
                <w:szCs w:val="20"/>
                <w:highlight w:val="none"/>
              </w:rPr>
              <w:t>门禁管理通过接入多种门禁设备，利用卡片、人脸、指纹介质，实现人员身份识别、出入管控等智能应用，主要提供门禁权限管理、事件管理、门禁状态查看、门禁远程控制、人员出入记录实时展示、远程呼叫对讲等应用。支持按门禁点、人员、组织、区域等多维度，综合查询权限配置、下发状态等信息。提供门禁事件管理应用、提供门禁状态查看及远程控制应用、提供人员出入记录实时展示应用。</w:t>
            </w:r>
          </w:p>
          <w:p>
            <w:pPr>
              <w:rPr>
                <w:rFonts w:ascii="宋体" w:hAnsi="宋体" w:eastAsia="宋体"/>
                <w:sz w:val="20"/>
                <w:szCs w:val="20"/>
                <w:highlight w:val="none"/>
              </w:rPr>
            </w:pPr>
            <w:r>
              <w:rPr>
                <w:rFonts w:ascii="宋体" w:hAnsi="宋体" w:eastAsia="宋体"/>
                <w:sz w:val="20"/>
                <w:szCs w:val="20"/>
                <w:highlight w:val="none"/>
              </w:rPr>
              <w:t>3</w:t>
            </w:r>
            <w:r>
              <w:rPr>
                <w:rFonts w:hint="eastAsia" w:ascii="宋体" w:hAnsi="宋体" w:eastAsia="宋体"/>
                <w:sz w:val="20"/>
                <w:szCs w:val="20"/>
                <w:highlight w:val="none"/>
              </w:rPr>
              <w:t>、硬件配置：</w:t>
            </w:r>
            <w:r>
              <w:rPr>
                <w:rFonts w:ascii="宋体" w:hAnsi="宋体" w:eastAsia="宋体"/>
                <w:sz w:val="20"/>
                <w:szCs w:val="20"/>
                <w:highlight w:val="none"/>
              </w:rPr>
              <w:t>CPU配置</w:t>
            </w:r>
            <w:r>
              <w:rPr>
                <w:rFonts w:hint="eastAsia" w:ascii="宋体" w:hAnsi="宋体" w:eastAsia="宋体"/>
                <w:sz w:val="20"/>
                <w:szCs w:val="20"/>
                <w:highlight w:val="none"/>
              </w:rPr>
              <w:t>至少1</w:t>
            </w:r>
            <w:r>
              <w:rPr>
                <w:rFonts w:ascii="宋体" w:hAnsi="宋体" w:eastAsia="宋体"/>
                <w:sz w:val="20"/>
                <w:szCs w:val="20"/>
                <w:highlight w:val="none"/>
              </w:rPr>
              <w:t>颗核数≥10核，主频≥2.4GHz</w:t>
            </w:r>
            <w:r>
              <w:rPr>
                <w:rFonts w:hint="eastAsia" w:ascii="宋体" w:hAnsi="宋体" w:eastAsia="宋体"/>
                <w:sz w:val="20"/>
                <w:szCs w:val="20"/>
                <w:highlight w:val="none"/>
              </w:rPr>
              <w:t>以上性能的服务器</w:t>
            </w:r>
            <w:r>
              <w:rPr>
                <w:rFonts w:ascii="宋体" w:hAnsi="宋体" w:eastAsia="宋体"/>
                <w:sz w:val="20"/>
                <w:szCs w:val="20"/>
                <w:highlight w:val="none"/>
              </w:rPr>
              <w:t>处理器，内存配置</w:t>
            </w:r>
            <w:r>
              <w:rPr>
                <w:rFonts w:hint="eastAsia" w:ascii="宋体" w:hAnsi="宋体" w:eastAsia="宋体"/>
                <w:sz w:val="20"/>
                <w:szCs w:val="20"/>
                <w:highlight w:val="none"/>
              </w:rPr>
              <w:t>至少</w:t>
            </w:r>
            <w:r>
              <w:rPr>
                <w:rFonts w:ascii="宋体" w:hAnsi="宋体" w:eastAsia="宋体"/>
                <w:sz w:val="20"/>
                <w:szCs w:val="20"/>
                <w:highlight w:val="none"/>
              </w:rPr>
              <w:t>64G</w:t>
            </w:r>
            <w:r>
              <w:rPr>
                <w:rFonts w:hint="eastAsia" w:ascii="宋体" w:hAnsi="宋体" w:eastAsia="宋体"/>
                <w:sz w:val="20"/>
                <w:szCs w:val="20"/>
                <w:highlight w:val="none"/>
              </w:rPr>
              <w:t xml:space="preserve"> </w:t>
            </w:r>
            <w:r>
              <w:rPr>
                <w:rFonts w:ascii="宋体" w:hAnsi="宋体" w:eastAsia="宋体"/>
                <w:sz w:val="20"/>
                <w:szCs w:val="20"/>
                <w:highlight w:val="none"/>
              </w:rPr>
              <w:t>DDR4，最大支持扩展至2TB内存，</w:t>
            </w:r>
            <w:r>
              <w:rPr>
                <w:rFonts w:hint="eastAsia" w:ascii="宋体" w:hAnsi="宋体" w:eastAsia="宋体"/>
                <w:sz w:val="20"/>
                <w:szCs w:val="20"/>
                <w:highlight w:val="none"/>
              </w:rPr>
              <w:t>至少</w:t>
            </w:r>
            <w:r>
              <w:rPr>
                <w:rFonts w:ascii="宋体" w:hAnsi="宋体" w:eastAsia="宋体"/>
                <w:sz w:val="20"/>
                <w:szCs w:val="20"/>
                <w:highlight w:val="none"/>
              </w:rPr>
              <w:t>配置2块1.2T 10K 2.5寸 SAS硬盘，最高支持12块3.5寸(兼容2.5寸)热插拔SAS/SATA硬盘，配置SAS_HBA卡，支持RAID 0/1/10 ，</w:t>
            </w:r>
            <w:r>
              <w:rPr>
                <w:rFonts w:hint="eastAsia" w:ascii="宋体" w:hAnsi="宋体" w:eastAsia="宋体"/>
                <w:sz w:val="20"/>
                <w:szCs w:val="20"/>
                <w:highlight w:val="none"/>
              </w:rPr>
              <w:t>至少配置</w:t>
            </w:r>
            <w:r>
              <w:rPr>
                <w:rFonts w:ascii="宋体" w:hAnsi="宋体" w:eastAsia="宋体"/>
                <w:sz w:val="20"/>
                <w:szCs w:val="20"/>
                <w:highlight w:val="none"/>
              </w:rPr>
              <w:t>2个千兆电口，支持选配10GbE、25GbE SFP+等多种网络接口，支持6个PCIE扩展插槽，</w:t>
            </w:r>
            <w:r>
              <w:rPr>
                <w:rFonts w:hint="eastAsia" w:ascii="宋体" w:hAnsi="宋体" w:eastAsia="宋体"/>
                <w:sz w:val="20"/>
                <w:szCs w:val="20"/>
                <w:highlight w:val="none"/>
              </w:rPr>
              <w:t>配置</w:t>
            </w:r>
            <w:r>
              <w:rPr>
                <w:rFonts w:ascii="宋体" w:hAnsi="宋体" w:eastAsia="宋体"/>
                <w:sz w:val="20"/>
                <w:szCs w:val="20"/>
                <w:highlight w:val="none"/>
              </w:rPr>
              <w:t>550W（1+1）高效铂金CRPS冗余电源。</w:t>
            </w:r>
          </w:p>
          <w:p>
            <w:pPr>
              <w:rPr>
                <w:rFonts w:ascii="宋体" w:hAnsi="宋体" w:eastAsia="宋体"/>
                <w:sz w:val="20"/>
                <w:szCs w:val="20"/>
                <w:highlight w:val="none"/>
              </w:rPr>
            </w:pPr>
            <w:r>
              <w:rPr>
                <w:rFonts w:ascii="宋体" w:hAnsi="宋体" w:eastAsia="宋体"/>
                <w:sz w:val="20"/>
                <w:szCs w:val="20"/>
                <w:highlight w:val="none"/>
              </w:rPr>
              <w:t>4、</w:t>
            </w:r>
            <w:r>
              <w:rPr>
                <w:rFonts w:hint="eastAsia" w:ascii="宋体" w:hAnsi="宋体" w:eastAsia="宋体"/>
                <w:sz w:val="20"/>
                <w:szCs w:val="20"/>
                <w:highlight w:val="none"/>
              </w:rPr>
              <w:t>系统通过监控网关能实时进行传感器数据采集，采集控制箱内温湿度，采集设备间总电表电压、电流、功率，采集设备间环境温湿度，采集智能空开电压、电流、功率及温度，采集烟感是否报警状态，采集设备间门锁开关门状态，采集控制箱门开关状态。以上所有采集到的数据配合门禁和机房内摄像头视频图像能按用户要求在大屏展示。</w:t>
            </w:r>
          </w:p>
          <w:p>
            <w:pPr>
              <w:rPr>
                <w:rFonts w:ascii="宋体" w:hAnsi="宋体" w:eastAsia="宋体"/>
                <w:sz w:val="20"/>
                <w:szCs w:val="20"/>
                <w:highlight w:val="none"/>
              </w:rPr>
            </w:pPr>
            <w:r>
              <w:rPr>
                <w:rFonts w:ascii="宋体" w:hAnsi="宋体" w:eastAsia="宋体"/>
                <w:sz w:val="20"/>
                <w:szCs w:val="20"/>
                <w:highlight w:val="none"/>
              </w:rPr>
              <w:t>5</w:t>
            </w:r>
            <w:r>
              <w:rPr>
                <w:rFonts w:hint="eastAsia" w:ascii="宋体" w:hAnsi="宋体" w:eastAsia="宋体"/>
                <w:sz w:val="20"/>
                <w:szCs w:val="20"/>
                <w:highlight w:val="none"/>
              </w:rPr>
              <w:t>、系统通过监控网关能对设备控制，实现控制箱远程开门，实现对智能空开的远程拉闸与推闸，实现停电再次来电后对空调自动打开，配合采集到的数据实现智能联动实现当烟雾报警或温度超阈值后，自动打开声光报警装置，同时通过统一短信平台向指定人员发送短信，当恢复时能自动关闭声光报警。</w:t>
            </w:r>
          </w:p>
          <w:p>
            <w:pPr>
              <w:rPr>
                <w:rFonts w:ascii="宋体" w:hAnsi="宋体" w:eastAsia="宋体"/>
                <w:sz w:val="20"/>
                <w:szCs w:val="20"/>
                <w:highlight w:val="none"/>
              </w:rPr>
            </w:pPr>
            <w:r>
              <w:rPr>
                <w:rFonts w:ascii="宋体" w:hAnsi="宋体" w:eastAsia="宋体"/>
                <w:sz w:val="20"/>
                <w:szCs w:val="20"/>
                <w:highlight w:val="none"/>
              </w:rPr>
              <w:t>6</w:t>
            </w:r>
            <w:r>
              <w:rPr>
                <w:rFonts w:hint="eastAsia" w:ascii="宋体" w:hAnsi="宋体" w:eastAsia="宋体"/>
                <w:sz w:val="20"/>
                <w:szCs w:val="20"/>
                <w:highlight w:val="none"/>
              </w:rPr>
              <w:t>、通过大屏实现历史数据显示与查询，根据条件能查询到人员进出记录及相关视频。</w:t>
            </w:r>
          </w:p>
          <w:p>
            <w:pPr>
              <w:rPr>
                <w:rFonts w:ascii="宋体" w:hAnsi="宋体" w:eastAsia="宋体"/>
                <w:sz w:val="20"/>
                <w:szCs w:val="20"/>
                <w:highlight w:val="none"/>
              </w:rPr>
            </w:pPr>
            <w:r>
              <w:rPr>
                <w:rFonts w:ascii="宋体" w:hAnsi="宋体" w:eastAsia="宋体"/>
                <w:sz w:val="20"/>
                <w:szCs w:val="20"/>
                <w:highlight w:val="none"/>
              </w:rPr>
              <w:t>7</w:t>
            </w:r>
            <w:r>
              <w:rPr>
                <w:rFonts w:hint="eastAsia" w:ascii="宋体" w:hAnsi="宋体" w:eastAsia="宋体"/>
                <w:sz w:val="20"/>
                <w:szCs w:val="20"/>
                <w:highlight w:val="none"/>
              </w:rPr>
              <w:t>、公开设备采集与控制协议，提供系统数据字典，完成数据与学校智能感知云平台对接</w:t>
            </w:r>
            <w:r>
              <w:rPr>
                <w:rFonts w:ascii="宋体" w:hAnsi="宋体" w:eastAsia="宋体"/>
                <w:sz w:val="20"/>
                <w:szCs w:val="20"/>
                <w:highlight w:val="none"/>
              </w:rPr>
              <w:t>，</w:t>
            </w:r>
            <w:r>
              <w:rPr>
                <w:rFonts w:hint="eastAsia" w:ascii="宋体" w:hAnsi="宋体" w:eastAsia="宋体"/>
                <w:sz w:val="20"/>
                <w:szCs w:val="20"/>
                <w:highlight w:val="none"/>
              </w:rPr>
              <w:t>所有对接开发工作按照学校已有感知云平台要求定制开发</w:t>
            </w:r>
            <w:r>
              <w:rPr>
                <w:rFonts w:ascii="宋体" w:hAnsi="宋体" w:eastAsia="宋体"/>
                <w:sz w:val="20"/>
                <w:szCs w:val="20"/>
                <w:highlight w:val="none"/>
              </w:rPr>
              <w:t>，</w:t>
            </w:r>
            <w:r>
              <w:rPr>
                <w:rFonts w:hint="eastAsia" w:ascii="宋体" w:hAnsi="宋体" w:eastAsia="宋体"/>
                <w:sz w:val="20"/>
                <w:szCs w:val="20"/>
                <w:highlight w:val="none"/>
              </w:rPr>
              <w:t>工作量和报价包含在本次投标报价中</w:t>
            </w:r>
            <w:r>
              <w:rPr>
                <w:rFonts w:ascii="宋体" w:hAnsi="宋体" w:eastAsia="宋体"/>
                <w:sz w:val="20"/>
                <w:szCs w:val="20"/>
                <w:highlight w:val="none"/>
              </w:rPr>
              <w:t>，</w:t>
            </w:r>
            <w:r>
              <w:rPr>
                <w:rFonts w:hint="eastAsia" w:ascii="宋体" w:hAnsi="宋体" w:eastAsia="宋体"/>
                <w:sz w:val="20"/>
                <w:szCs w:val="20"/>
                <w:highlight w:val="none"/>
              </w:rPr>
              <w:t>供应商自行评估工作量及费用</w:t>
            </w:r>
            <w:r>
              <w:rPr>
                <w:rFonts w:ascii="宋体" w:hAnsi="宋体" w:eastAsia="宋体"/>
                <w:sz w:val="20"/>
                <w:szCs w:val="20"/>
                <w:highlight w:val="none"/>
              </w:rPr>
              <w:t>。</w:t>
            </w:r>
            <w:r>
              <w:rPr>
                <w:rFonts w:hint="eastAsia" w:ascii="宋体" w:hAnsi="宋体" w:eastAsia="宋体"/>
                <w:sz w:val="20"/>
                <w:szCs w:val="20"/>
                <w:highlight w:val="none"/>
              </w:rPr>
              <w:t>后期将不再支付其他费用。</w:t>
            </w:r>
          </w:p>
          <w:p>
            <w:pPr>
              <w:rPr>
                <w:rFonts w:ascii="宋体" w:hAnsi="宋体" w:eastAsia="宋体"/>
                <w:sz w:val="20"/>
                <w:szCs w:val="20"/>
                <w:highlight w:val="none"/>
              </w:rPr>
            </w:pPr>
            <w:r>
              <w:rPr>
                <w:rFonts w:ascii="宋体" w:hAnsi="宋体" w:eastAsia="宋体"/>
                <w:sz w:val="20"/>
                <w:szCs w:val="20"/>
                <w:highlight w:val="none"/>
              </w:rPr>
              <w:t>8</w:t>
            </w:r>
            <w:r>
              <w:rPr>
                <w:rFonts w:hint="eastAsia" w:ascii="宋体" w:hAnsi="宋体" w:eastAsia="宋体"/>
                <w:sz w:val="20"/>
                <w:szCs w:val="20"/>
                <w:highlight w:val="none"/>
              </w:rPr>
              <w:t>、系统包含128路视频授权，门禁控制管理模块及授权</w:t>
            </w:r>
            <w:r>
              <w:rPr>
                <w:rFonts w:ascii="宋体" w:hAnsi="宋体" w:eastAsia="宋体"/>
                <w:sz w:val="20"/>
                <w:szCs w:val="20"/>
                <w:highlight w:val="none"/>
              </w:rPr>
              <w:t>。</w:t>
            </w:r>
          </w:p>
          <w:p>
            <w:pPr>
              <w:rPr>
                <w:rFonts w:hint="eastAsia" w:ascii="宋体" w:hAnsi="宋体" w:eastAsia="宋体"/>
                <w:sz w:val="20"/>
                <w:szCs w:val="20"/>
                <w:highlight w:val="none"/>
              </w:rPr>
            </w:pPr>
            <w:r>
              <w:rPr>
                <w:rFonts w:ascii="宋体" w:hAnsi="宋体" w:eastAsia="宋体"/>
                <w:b/>
                <w:bCs/>
                <w:sz w:val="20"/>
                <w:szCs w:val="20"/>
                <w:highlight w:val="none"/>
              </w:rPr>
              <w:t>9</w:t>
            </w:r>
            <w:r>
              <w:rPr>
                <w:rFonts w:hint="eastAsia" w:ascii="宋体" w:hAnsi="宋体" w:eastAsia="宋体"/>
                <w:b/>
                <w:bCs/>
                <w:sz w:val="20"/>
                <w:szCs w:val="20"/>
                <w:highlight w:val="none"/>
              </w:rPr>
              <w:t>、供应商需承诺：签订合同时提供原厂三年质保函。投标文件中需提供承诺函加盖公章</w:t>
            </w:r>
            <w:r>
              <w:rPr>
                <w:rFonts w:ascii="宋体" w:hAnsi="宋体" w:eastAsia="宋体"/>
                <w:b/>
                <w:bCs/>
                <w:sz w:val="20"/>
                <w:szCs w:val="20"/>
                <w:highlight w:val="none"/>
              </w:rPr>
              <w:t>。</w:t>
            </w:r>
          </w:p>
        </w:tc>
        <w:tc>
          <w:tcPr>
            <w:tcW w:w="536" w:type="dxa"/>
            <w:tcBorders>
              <w:top w:val="nil"/>
              <w:left w:val="nil"/>
              <w:bottom w:val="single" w:color="auto" w:sz="4" w:space="0"/>
              <w:right w:val="single" w:color="auto" w:sz="4" w:space="0"/>
            </w:tcBorders>
            <w:shd w:val="clear" w:color="auto" w:fill="FFFFFF"/>
            <w:vAlign w:val="center"/>
          </w:tcPr>
          <w:p>
            <w:pPr>
              <w:jc w:val="center"/>
              <w:rPr>
                <w:rFonts w:ascii="宋体" w:hAnsi="宋体"/>
                <w:sz w:val="20"/>
                <w:szCs w:val="20"/>
                <w:highlight w:val="none"/>
              </w:rPr>
            </w:pPr>
            <w:r>
              <w:rPr>
                <w:rFonts w:hint="eastAsia" w:ascii="宋体" w:hAnsi="宋体"/>
                <w:sz w:val="20"/>
                <w:szCs w:val="20"/>
                <w:highlight w:val="none"/>
              </w:rPr>
              <w:t>套</w:t>
            </w:r>
          </w:p>
        </w:tc>
        <w:tc>
          <w:tcPr>
            <w:tcW w:w="633" w:type="dxa"/>
            <w:tcBorders>
              <w:top w:val="nil"/>
              <w:left w:val="nil"/>
              <w:bottom w:val="single" w:color="auto" w:sz="4" w:space="0"/>
              <w:right w:val="single" w:color="auto" w:sz="4" w:space="0"/>
            </w:tcBorders>
            <w:shd w:val="clear" w:color="auto" w:fill="FFFFFF"/>
            <w:vAlign w:val="center"/>
          </w:tcPr>
          <w:p>
            <w:pPr>
              <w:jc w:val="center"/>
              <w:rPr>
                <w:rFonts w:ascii="宋体" w:hAnsi="宋体"/>
                <w:sz w:val="20"/>
                <w:szCs w:val="20"/>
                <w:highlight w:val="none"/>
              </w:rPr>
            </w:pPr>
            <w:r>
              <w:rPr>
                <w:rFonts w:ascii="宋体" w:hAnsi="宋体"/>
                <w:sz w:val="20"/>
                <w:szCs w:val="20"/>
                <w:highlight w:val="none"/>
              </w:rPr>
              <w:t>1</w:t>
            </w:r>
          </w:p>
        </w:tc>
      </w:tr>
      <w:tr>
        <w:tblPrEx>
          <w:tblCellMar>
            <w:top w:w="0" w:type="dxa"/>
            <w:left w:w="108" w:type="dxa"/>
            <w:bottom w:w="0" w:type="dxa"/>
            <w:right w:w="108" w:type="dxa"/>
          </w:tblCellMar>
        </w:tblPrEx>
        <w:trPr>
          <w:trHeight w:val="276" w:hRule="atLeast"/>
        </w:trPr>
        <w:tc>
          <w:tcPr>
            <w:tcW w:w="536" w:type="dxa"/>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sz w:val="20"/>
                <w:szCs w:val="20"/>
                <w:highlight w:val="none"/>
              </w:rPr>
            </w:pPr>
            <w:r>
              <w:rPr>
                <w:rFonts w:hint="eastAsia" w:ascii="宋体" w:hAnsi="宋体"/>
                <w:sz w:val="20"/>
                <w:szCs w:val="20"/>
                <w:highlight w:val="none"/>
              </w:rPr>
              <w:t>11</w:t>
            </w:r>
          </w:p>
        </w:tc>
        <w:tc>
          <w:tcPr>
            <w:tcW w:w="1076" w:type="dxa"/>
            <w:tcBorders>
              <w:top w:val="nil"/>
              <w:left w:val="nil"/>
              <w:bottom w:val="single" w:color="auto" w:sz="4" w:space="0"/>
              <w:right w:val="single" w:color="auto" w:sz="4" w:space="0"/>
            </w:tcBorders>
            <w:shd w:val="clear" w:color="auto" w:fill="FFFFFF"/>
            <w:vAlign w:val="center"/>
          </w:tcPr>
          <w:p>
            <w:pPr>
              <w:jc w:val="center"/>
              <w:rPr>
                <w:rFonts w:ascii="宋体" w:hAnsi="宋体"/>
                <w:sz w:val="20"/>
                <w:szCs w:val="20"/>
                <w:highlight w:val="none"/>
              </w:rPr>
            </w:pPr>
            <w:r>
              <w:rPr>
                <w:rFonts w:hint="eastAsia" w:ascii="宋体" w:hAnsi="宋体"/>
                <w:sz w:val="20"/>
                <w:szCs w:val="20"/>
                <w:highlight w:val="none"/>
              </w:rPr>
              <w:t>安装调试</w:t>
            </w:r>
          </w:p>
        </w:tc>
        <w:tc>
          <w:tcPr>
            <w:tcW w:w="6209" w:type="dxa"/>
            <w:tcBorders>
              <w:top w:val="nil"/>
              <w:left w:val="nil"/>
              <w:bottom w:val="single" w:color="auto" w:sz="4" w:space="0"/>
              <w:right w:val="single" w:color="auto" w:sz="4" w:space="0"/>
            </w:tcBorders>
            <w:shd w:val="clear" w:color="auto" w:fill="FFFFFF"/>
            <w:vAlign w:val="center"/>
          </w:tcPr>
          <w:p>
            <w:pPr>
              <w:rPr>
                <w:rFonts w:hint="eastAsia" w:ascii="宋体" w:hAnsi="宋体"/>
                <w:b/>
                <w:bCs/>
                <w:sz w:val="20"/>
                <w:szCs w:val="20"/>
                <w:highlight w:val="none"/>
              </w:rPr>
            </w:pPr>
            <w:r>
              <w:rPr>
                <w:rFonts w:hint="eastAsia" w:ascii="宋体" w:hAnsi="宋体"/>
                <w:b/>
                <w:bCs/>
                <w:sz w:val="20"/>
                <w:szCs w:val="20"/>
                <w:highlight w:val="none"/>
              </w:rPr>
              <w:t>1、供应商需承诺：所有设备提供3年质保。投标文件中提供承诺函</w:t>
            </w:r>
            <w:r>
              <w:rPr>
                <w:rFonts w:hint="eastAsia" w:ascii="宋体" w:hAnsi="宋体"/>
                <w:b/>
                <w:bCs/>
                <w:sz w:val="20"/>
                <w:szCs w:val="20"/>
                <w:highlight w:val="none"/>
                <w:lang w:eastAsia="zh-CN"/>
              </w:rPr>
              <w:t>。</w:t>
            </w:r>
          </w:p>
          <w:p>
            <w:pPr>
              <w:rPr>
                <w:rFonts w:ascii="宋体" w:hAnsi="宋体"/>
                <w:sz w:val="20"/>
                <w:szCs w:val="20"/>
                <w:highlight w:val="none"/>
              </w:rPr>
            </w:pPr>
            <w:r>
              <w:rPr>
                <w:rFonts w:ascii="宋体" w:hAnsi="宋体"/>
                <w:sz w:val="20"/>
                <w:szCs w:val="20"/>
                <w:highlight w:val="none"/>
              </w:rPr>
              <w:t>2</w:t>
            </w:r>
            <w:r>
              <w:rPr>
                <w:rFonts w:hint="eastAsia" w:ascii="宋体" w:hAnsi="宋体"/>
                <w:sz w:val="20"/>
                <w:szCs w:val="20"/>
                <w:highlight w:val="none"/>
              </w:rPr>
              <w:t>、包含所弱电间管线敷设、设备软硬件安装、设备间原线路整理、重打标签等。</w:t>
            </w:r>
          </w:p>
          <w:p>
            <w:pPr>
              <w:rPr>
                <w:rFonts w:ascii="宋体" w:hAnsi="宋体"/>
                <w:sz w:val="20"/>
                <w:szCs w:val="20"/>
                <w:highlight w:val="none"/>
              </w:rPr>
            </w:pPr>
            <w:r>
              <w:rPr>
                <w:rFonts w:ascii="宋体" w:hAnsi="宋体"/>
                <w:sz w:val="20"/>
                <w:szCs w:val="20"/>
                <w:highlight w:val="none"/>
              </w:rPr>
              <w:t>3</w:t>
            </w:r>
            <w:r>
              <w:rPr>
                <w:rFonts w:hint="eastAsia" w:ascii="宋体" w:hAnsi="宋体"/>
                <w:sz w:val="20"/>
                <w:szCs w:val="20"/>
                <w:highlight w:val="none"/>
              </w:rPr>
              <w:t>、所有传感器设备及软件由中标方对接学校现有物联网平台，实现设备的在线状态监测、告警以及反向控制。</w:t>
            </w:r>
          </w:p>
        </w:tc>
        <w:tc>
          <w:tcPr>
            <w:tcW w:w="536" w:type="dxa"/>
            <w:tcBorders>
              <w:top w:val="nil"/>
              <w:left w:val="nil"/>
              <w:bottom w:val="single" w:color="auto" w:sz="4" w:space="0"/>
              <w:right w:val="single" w:color="auto" w:sz="4" w:space="0"/>
            </w:tcBorders>
            <w:shd w:val="clear" w:color="auto" w:fill="FFFFFF"/>
            <w:vAlign w:val="center"/>
          </w:tcPr>
          <w:p>
            <w:pPr>
              <w:jc w:val="center"/>
              <w:rPr>
                <w:rFonts w:ascii="宋体" w:hAnsi="宋体"/>
                <w:sz w:val="20"/>
                <w:szCs w:val="20"/>
                <w:highlight w:val="none"/>
              </w:rPr>
            </w:pPr>
            <w:r>
              <w:rPr>
                <w:rFonts w:hint="eastAsia" w:ascii="宋体" w:hAnsi="宋体"/>
                <w:sz w:val="20"/>
                <w:szCs w:val="20"/>
                <w:highlight w:val="none"/>
              </w:rPr>
              <w:t>项</w:t>
            </w:r>
          </w:p>
        </w:tc>
        <w:tc>
          <w:tcPr>
            <w:tcW w:w="633" w:type="dxa"/>
            <w:tcBorders>
              <w:top w:val="nil"/>
              <w:left w:val="nil"/>
              <w:bottom w:val="single" w:color="auto" w:sz="4" w:space="0"/>
              <w:right w:val="single" w:color="auto" w:sz="4" w:space="0"/>
            </w:tcBorders>
            <w:shd w:val="clear" w:color="auto" w:fill="FFFFFF"/>
            <w:vAlign w:val="center"/>
          </w:tcPr>
          <w:p>
            <w:pPr>
              <w:jc w:val="center"/>
              <w:rPr>
                <w:rFonts w:ascii="宋体" w:hAnsi="宋体"/>
                <w:sz w:val="20"/>
                <w:szCs w:val="20"/>
                <w:highlight w:val="none"/>
              </w:rPr>
            </w:pPr>
            <w:r>
              <w:rPr>
                <w:rFonts w:hint="eastAsia" w:ascii="宋体" w:hAnsi="宋体"/>
                <w:sz w:val="20"/>
                <w:szCs w:val="20"/>
                <w:highlight w:val="none"/>
              </w:rPr>
              <w:t>1</w:t>
            </w:r>
          </w:p>
        </w:tc>
      </w:tr>
    </w:tbl>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D1F7DE"/>
    <w:multiLevelType w:val="singleLevel"/>
    <w:tmpl w:val="57D1F7DE"/>
    <w:lvl w:ilvl="0" w:tentative="0">
      <w:start w:val="8"/>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djZDQ3NTE0YTcxODY1ZTMxOThjZTYyNGFiNzIzMjcifQ=="/>
  </w:docVars>
  <w:rsids>
    <w:rsidRoot w:val="006065A1"/>
    <w:rsid w:val="00177E98"/>
    <w:rsid w:val="001B46DB"/>
    <w:rsid w:val="002B3BE0"/>
    <w:rsid w:val="00430774"/>
    <w:rsid w:val="006065A1"/>
    <w:rsid w:val="00A14B4A"/>
    <w:rsid w:val="00AE7544"/>
    <w:rsid w:val="00BE6F4D"/>
    <w:rsid w:val="00F111CB"/>
    <w:rsid w:val="00F310AE"/>
    <w:rsid w:val="11BC5369"/>
    <w:rsid w:val="24A42F29"/>
    <w:rsid w:val="27037F07"/>
    <w:rsid w:val="2D8D56C3"/>
    <w:rsid w:val="456E3CD7"/>
    <w:rsid w:val="5E822C67"/>
    <w:rsid w:val="6D120DBA"/>
    <w:rsid w:val="7A1D68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10"/>
    <w:qFormat/>
    <w:uiPriority w:val="0"/>
    <w:pPr>
      <w:keepNext/>
      <w:keepLines/>
      <w:adjustRightInd w:val="0"/>
      <w:spacing w:before="280" w:after="290" w:line="376" w:lineRule="atLeast"/>
      <w:textAlignment w:val="baseline"/>
      <w:outlineLvl w:val="3"/>
    </w:pPr>
    <w:rPr>
      <w:rFonts w:ascii="Arial" w:hAnsi="Arial" w:eastAsia="黑体" w:cs="Times New Roman"/>
      <w:b/>
      <w:kern w:val="0"/>
      <w:sz w:val="28"/>
      <w:szCs w:val="2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alloon Text"/>
    <w:basedOn w:val="1"/>
    <w:link w:val="11"/>
    <w:semiHidden/>
    <w:unhideWhenUsed/>
    <w:qFormat/>
    <w:uiPriority w:val="99"/>
    <w:rPr>
      <w:sz w:val="18"/>
      <w:szCs w:val="18"/>
    </w:r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semiHidden/>
    <w:unhideWhenUsed/>
    <w:qFormat/>
    <w:uiPriority w:val="99"/>
    <w:rPr>
      <w:sz w:val="21"/>
      <w:szCs w:val="21"/>
    </w:rPr>
  </w:style>
  <w:style w:type="character" w:customStyle="1" w:styleId="10">
    <w:name w:val="标题 4 Char"/>
    <w:basedOn w:val="8"/>
    <w:link w:val="2"/>
    <w:qFormat/>
    <w:uiPriority w:val="0"/>
    <w:rPr>
      <w:rFonts w:ascii="Arial" w:hAnsi="Arial" w:eastAsia="黑体" w:cs="Times New Roman"/>
      <w:b/>
      <w:kern w:val="0"/>
      <w:sz w:val="28"/>
      <w:szCs w:val="20"/>
    </w:rPr>
  </w:style>
  <w:style w:type="character" w:customStyle="1" w:styleId="11">
    <w:name w:val="批注框文本 Char"/>
    <w:basedOn w:val="8"/>
    <w:link w:val="4"/>
    <w:semiHidden/>
    <w:qFormat/>
    <w:uiPriority w:val="99"/>
    <w:rPr>
      <w:kern w:val="2"/>
      <w:sz w:val="18"/>
      <w:szCs w:val="18"/>
    </w:rPr>
  </w:style>
  <w:style w:type="character" w:customStyle="1" w:styleId="12">
    <w:name w:val="页眉 Char"/>
    <w:basedOn w:val="8"/>
    <w:link w:val="6"/>
    <w:semiHidden/>
    <w:qFormat/>
    <w:uiPriority w:val="99"/>
    <w:rPr>
      <w:kern w:val="2"/>
      <w:sz w:val="18"/>
      <w:szCs w:val="18"/>
    </w:rPr>
  </w:style>
  <w:style w:type="character" w:customStyle="1" w:styleId="13">
    <w:name w:val="页脚 Char"/>
    <w:basedOn w:val="8"/>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8</Pages>
  <Words>5815</Words>
  <Characters>6928</Characters>
  <Lines>51</Lines>
  <Paragraphs>14</Paragraphs>
  <TotalTime>2</TotalTime>
  <ScaleCrop>false</ScaleCrop>
  <LinksUpToDate>false</LinksUpToDate>
  <CharactersWithSpaces>6984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2023-01-07T07:35:00Z</dcterms:created>
  <dc:creator>Windows User</dc:creator>
  <cp:lastModifiedBy>蒋鹏飞</cp:lastModifiedBy>
  <cp:lastPrinted>2023-01-07T00:46:00Z</cp:lastPrinted>
  <dcterms:modified xsi:type="dcterms:W3CDTF">2023-01-09T00:54:07Z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4069C8492E724C1FA6007B8FE95516DB</vt:lpwstr>
  </property>
</Properties>
</file>